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59842" w14:textId="31A877C9" w:rsidR="00B15F1F" w:rsidRPr="00AF3BD5" w:rsidRDefault="00B7545F">
      <w:pPr>
        <w:rPr>
          <w:rFonts w:cstheme="minorHAnsi"/>
          <w:b/>
          <w:sz w:val="24"/>
          <w:szCs w:val="24"/>
        </w:rPr>
      </w:pPr>
      <w:r w:rsidRPr="00AF3BD5">
        <w:rPr>
          <w:rFonts w:cstheme="minorHAnsi"/>
          <w:b/>
          <w:sz w:val="32"/>
          <w:szCs w:val="24"/>
        </w:rPr>
        <w:t>CMS</w:t>
      </w:r>
      <w:bookmarkStart w:id="0" w:name="_GoBack"/>
      <w:bookmarkEnd w:id="0"/>
      <w:r w:rsidRPr="00AF3BD5">
        <w:rPr>
          <w:rFonts w:cstheme="minorHAnsi"/>
          <w:b/>
          <w:sz w:val="32"/>
          <w:szCs w:val="24"/>
        </w:rPr>
        <w:t xml:space="preserve"> Data Element Library </w:t>
      </w:r>
      <w:r w:rsidR="00687259" w:rsidRPr="00AF3BD5">
        <w:rPr>
          <w:rFonts w:cstheme="minorHAnsi"/>
          <w:b/>
          <w:sz w:val="32"/>
          <w:szCs w:val="24"/>
        </w:rPr>
        <w:t xml:space="preserve">HITWG Comments on the </w:t>
      </w:r>
      <w:hyperlink r:id="rId10" w:history="1">
        <w:r w:rsidR="00687259" w:rsidRPr="00AF3BD5">
          <w:rPr>
            <w:rStyle w:val="Hyperlink"/>
            <w:rFonts w:cstheme="minorHAnsi"/>
            <w:b/>
            <w:sz w:val="32"/>
            <w:szCs w:val="24"/>
          </w:rPr>
          <w:t>ONC 2018 Interoperability Standards Advisory</w:t>
        </w:r>
      </w:hyperlink>
      <w:r w:rsidR="008402F0">
        <w:rPr>
          <w:rStyle w:val="Hyperlink"/>
          <w:rFonts w:cstheme="minorHAnsi"/>
          <w:b/>
          <w:sz w:val="32"/>
          <w:szCs w:val="24"/>
        </w:rPr>
        <w:t xml:space="preserve"> (ISA)</w:t>
      </w:r>
    </w:p>
    <w:p w14:paraId="3D15D3A4" w14:textId="10D41990" w:rsidR="00B7545F" w:rsidRPr="00AF3BD5" w:rsidRDefault="0027145C">
      <w:pPr>
        <w:rPr>
          <w:rFonts w:cstheme="minorHAnsi"/>
          <w:b/>
          <w:sz w:val="24"/>
          <w:szCs w:val="24"/>
        </w:rPr>
      </w:pPr>
      <w:r w:rsidRPr="00AF3BD5">
        <w:rPr>
          <w:rFonts w:cstheme="minorHAnsi"/>
          <w:b/>
          <w:sz w:val="24"/>
          <w:szCs w:val="24"/>
        </w:rPr>
        <w:t>August</w:t>
      </w:r>
      <w:r w:rsidR="00687259" w:rsidRPr="00AF3BD5">
        <w:rPr>
          <w:rFonts w:cstheme="minorHAnsi"/>
          <w:b/>
          <w:sz w:val="24"/>
          <w:szCs w:val="24"/>
        </w:rPr>
        <w:t xml:space="preserve"> </w:t>
      </w:r>
      <w:r w:rsidR="00BD0B51" w:rsidRPr="00AF3BD5">
        <w:rPr>
          <w:rFonts w:cstheme="minorHAnsi"/>
          <w:b/>
          <w:sz w:val="24"/>
          <w:szCs w:val="24"/>
        </w:rPr>
        <w:t>27</w:t>
      </w:r>
      <w:r w:rsidR="00687259" w:rsidRPr="00AF3BD5">
        <w:rPr>
          <w:rFonts w:cstheme="minorHAnsi"/>
          <w:b/>
          <w:sz w:val="24"/>
          <w:szCs w:val="24"/>
        </w:rPr>
        <w:t>, 2018</w:t>
      </w:r>
    </w:p>
    <w:p w14:paraId="32F72111" w14:textId="22B46B1C" w:rsidR="00B7545F" w:rsidRPr="00AF3BD5" w:rsidRDefault="00B7545F">
      <w:pPr>
        <w:rPr>
          <w:rFonts w:cstheme="minorHAnsi"/>
          <w:sz w:val="24"/>
          <w:szCs w:val="24"/>
        </w:rPr>
      </w:pPr>
      <w:r w:rsidRPr="00AF3BD5">
        <w:rPr>
          <w:rFonts w:cstheme="minorHAnsi"/>
          <w:sz w:val="24"/>
          <w:szCs w:val="24"/>
        </w:rPr>
        <w:t xml:space="preserve">The </w:t>
      </w:r>
      <w:r w:rsidR="008402F0">
        <w:rPr>
          <w:rFonts w:cstheme="minorHAnsi"/>
          <w:sz w:val="24"/>
          <w:szCs w:val="24"/>
        </w:rPr>
        <w:t>Centers for Medicare and Medicaid (</w:t>
      </w:r>
      <w:r w:rsidRPr="00AF3BD5">
        <w:rPr>
          <w:rFonts w:cstheme="minorHAnsi"/>
          <w:sz w:val="24"/>
          <w:szCs w:val="24"/>
        </w:rPr>
        <w:t>CMS</w:t>
      </w:r>
      <w:r w:rsidR="008402F0">
        <w:rPr>
          <w:rFonts w:cstheme="minorHAnsi"/>
          <w:sz w:val="24"/>
          <w:szCs w:val="24"/>
        </w:rPr>
        <w:t>)</w:t>
      </w:r>
      <w:r w:rsidRPr="00AF3BD5">
        <w:rPr>
          <w:rFonts w:cstheme="minorHAnsi"/>
          <w:sz w:val="24"/>
          <w:szCs w:val="24"/>
        </w:rPr>
        <w:t xml:space="preserve"> Data Element Library</w:t>
      </w:r>
      <w:r w:rsidR="00C03269" w:rsidRPr="00AF3BD5">
        <w:rPr>
          <w:rFonts w:cstheme="minorHAnsi"/>
          <w:sz w:val="24"/>
          <w:szCs w:val="24"/>
        </w:rPr>
        <w:t xml:space="preserve"> (DEL)</w:t>
      </w:r>
      <w:r w:rsidRPr="00AF3BD5">
        <w:rPr>
          <w:rFonts w:cstheme="minorHAnsi"/>
          <w:sz w:val="24"/>
          <w:szCs w:val="24"/>
        </w:rPr>
        <w:t xml:space="preserve">, Health </w:t>
      </w:r>
      <w:r w:rsidR="008402F0">
        <w:rPr>
          <w:rFonts w:cstheme="minorHAnsi"/>
          <w:sz w:val="24"/>
          <w:szCs w:val="24"/>
        </w:rPr>
        <w:t>Information Technology</w:t>
      </w:r>
      <w:r w:rsidRPr="00AF3BD5">
        <w:rPr>
          <w:rFonts w:cstheme="minorHAnsi"/>
          <w:sz w:val="24"/>
          <w:szCs w:val="24"/>
        </w:rPr>
        <w:t xml:space="preserve"> Workgroup</w:t>
      </w:r>
      <w:r w:rsidR="008402F0">
        <w:rPr>
          <w:rFonts w:cstheme="minorHAnsi"/>
          <w:sz w:val="24"/>
          <w:szCs w:val="24"/>
        </w:rPr>
        <w:t xml:space="preserve"> (HITWG)</w:t>
      </w:r>
      <w:r w:rsidRPr="00AF3BD5">
        <w:rPr>
          <w:rFonts w:cstheme="minorHAnsi"/>
          <w:sz w:val="24"/>
          <w:szCs w:val="24"/>
        </w:rPr>
        <w:t xml:space="preserve"> evaluated the </w:t>
      </w:r>
      <w:hyperlink r:id="rId11" w:history="1">
        <w:r w:rsidR="00687259" w:rsidRPr="00AF3BD5">
          <w:rPr>
            <w:rStyle w:val="Hyperlink"/>
            <w:rFonts w:cstheme="minorHAnsi"/>
            <w:sz w:val="24"/>
            <w:szCs w:val="24"/>
          </w:rPr>
          <w:t>2018 Interoperability Standards Advisory</w:t>
        </w:r>
      </w:hyperlink>
      <w:r w:rsidR="00E14712" w:rsidRPr="00AF3BD5">
        <w:rPr>
          <w:rFonts w:cstheme="minorHAnsi"/>
          <w:sz w:val="24"/>
          <w:szCs w:val="24"/>
        </w:rPr>
        <w:t xml:space="preserve"> and offer the following comments based on an analysis against the data classes </w:t>
      </w:r>
      <w:r w:rsidR="00687259" w:rsidRPr="00AF3BD5">
        <w:rPr>
          <w:rFonts w:cstheme="minorHAnsi"/>
          <w:sz w:val="24"/>
          <w:szCs w:val="24"/>
        </w:rPr>
        <w:t xml:space="preserve">and related health IT vocabulary codes for </w:t>
      </w:r>
      <w:r w:rsidR="00E14712" w:rsidRPr="00AF3BD5">
        <w:rPr>
          <w:rFonts w:cstheme="minorHAnsi"/>
          <w:sz w:val="24"/>
          <w:szCs w:val="24"/>
        </w:rPr>
        <w:t xml:space="preserve">the federally required post-acute care (PAC) assessment instruments.  </w:t>
      </w:r>
    </w:p>
    <w:p w14:paraId="43C6EAA7" w14:textId="6C705288" w:rsidR="00687259" w:rsidRPr="00AF3BD5" w:rsidRDefault="00687259" w:rsidP="00146F24">
      <w:pPr>
        <w:spacing w:before="100" w:beforeAutospacing="1" w:after="100" w:afterAutospacing="1" w:line="360" w:lineRule="atLeast"/>
        <w:rPr>
          <w:rFonts w:eastAsia="Times New Roman" w:cstheme="minorHAnsi"/>
          <w:b/>
          <w:color w:val="000000"/>
          <w:sz w:val="28"/>
          <w:szCs w:val="24"/>
          <w:lang w:val="en"/>
        </w:rPr>
      </w:pPr>
      <w:r w:rsidRPr="00AF3BD5">
        <w:rPr>
          <w:rFonts w:eastAsia="Times New Roman" w:cstheme="minorHAnsi"/>
          <w:b/>
          <w:i/>
          <w:iCs/>
          <w:color w:val="000000"/>
          <w:sz w:val="28"/>
          <w:szCs w:val="24"/>
          <w:lang w:val="en"/>
        </w:rPr>
        <w:t>Section I – Vocabulary/Code Sets/Terminology</w:t>
      </w:r>
      <w:r w:rsidRPr="00AF3BD5">
        <w:rPr>
          <w:rFonts w:eastAsia="Times New Roman" w:cstheme="minorHAnsi"/>
          <w:b/>
          <w:color w:val="000000"/>
          <w:sz w:val="28"/>
          <w:szCs w:val="24"/>
          <w:lang w:val="en"/>
        </w:rPr>
        <w:t xml:space="preserve"> Standards and Implementation Specifications </w:t>
      </w:r>
    </w:p>
    <w:p w14:paraId="316E0117" w14:textId="5CE8F957" w:rsidR="00687259" w:rsidRPr="00CD2069" w:rsidRDefault="00687259" w:rsidP="00146F24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b/>
          <w:color w:val="000000"/>
          <w:sz w:val="24"/>
          <w:szCs w:val="24"/>
          <w:lang w:val="en"/>
        </w:rPr>
      </w:pPr>
      <w:r w:rsidRPr="00CD2069">
        <w:rPr>
          <w:rFonts w:eastAsia="Times New Roman" w:cstheme="minorHAnsi"/>
          <w:b/>
          <w:color w:val="000000"/>
          <w:sz w:val="28"/>
          <w:szCs w:val="24"/>
          <w:lang w:val="en"/>
        </w:rPr>
        <w:t>I-D: Functional Status/Disability</w:t>
      </w:r>
      <w:r w:rsidR="00AE4638" w:rsidRPr="00CD2069">
        <w:rPr>
          <w:rFonts w:eastAsia="Times New Roman" w:cstheme="minorHAnsi"/>
          <w:b/>
          <w:color w:val="000000"/>
          <w:sz w:val="28"/>
          <w:szCs w:val="24"/>
          <w:lang w:val="en"/>
        </w:rPr>
        <w:t xml:space="preserve"> </w:t>
      </w:r>
    </w:p>
    <w:p w14:paraId="5B4092C6" w14:textId="20D7B855" w:rsidR="008B49AB" w:rsidRPr="00AF3BD5" w:rsidRDefault="0027145C" w:rsidP="00146F24">
      <w:pPr>
        <w:numPr>
          <w:ilvl w:val="1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r w:rsidRPr="00AF3BD5">
        <w:rPr>
          <w:rFonts w:eastAsia="Times New Roman" w:cstheme="minorHAnsi"/>
          <w:b/>
          <w:i/>
          <w:color w:val="000000"/>
          <w:sz w:val="24"/>
          <w:szCs w:val="24"/>
          <w:lang w:val="en"/>
        </w:rPr>
        <w:t>Recommendation:</w:t>
      </w: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</w:t>
      </w:r>
      <w:r w:rsidR="00BD0B51" w:rsidRPr="00AF3BD5">
        <w:rPr>
          <w:rFonts w:eastAsia="Times New Roman" w:cstheme="minorHAnsi"/>
          <w:color w:val="000000"/>
          <w:sz w:val="24"/>
          <w:szCs w:val="24"/>
          <w:lang w:val="en"/>
        </w:rPr>
        <w:t>The CMS DEL HITWG recommends r</w:t>
      </w:r>
      <w:r w:rsidR="008B49AB" w:rsidRPr="00AF3BD5">
        <w:rPr>
          <w:rFonts w:eastAsia="Times New Roman" w:cstheme="minorHAnsi"/>
          <w:color w:val="000000"/>
          <w:sz w:val="24"/>
          <w:szCs w:val="24"/>
          <w:lang w:val="en"/>
        </w:rPr>
        <w:t>eferenc</w:t>
      </w:r>
      <w:r w:rsidR="00BD0B51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ing the CMS </w:t>
      </w:r>
      <w:r w:rsidR="008B49AB" w:rsidRPr="00AF3BD5">
        <w:rPr>
          <w:rFonts w:eastAsia="Times New Roman" w:cstheme="minorHAnsi"/>
          <w:color w:val="000000"/>
          <w:sz w:val="24"/>
          <w:szCs w:val="24"/>
          <w:lang w:val="en"/>
        </w:rPr>
        <w:t>DEL</w:t>
      </w:r>
      <w:r w:rsidR="00C86423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for the Functional Abilities and Goals Assessment (Prior Functioning and Everyday Activities, </w:t>
      </w:r>
      <w:r w:rsidR="00946ED8" w:rsidRPr="00AF3BD5">
        <w:rPr>
          <w:rFonts w:eastAsia="Times New Roman" w:cstheme="minorHAnsi"/>
          <w:color w:val="000000"/>
          <w:sz w:val="24"/>
          <w:szCs w:val="24"/>
          <w:lang w:val="en"/>
        </w:rPr>
        <w:t>Self-Care</w:t>
      </w:r>
      <w:r w:rsidR="00C86423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, Mobility).  </w:t>
      </w:r>
      <w:r w:rsidR="000470AE" w:rsidRPr="00AF3BD5">
        <w:rPr>
          <w:rFonts w:eastAsia="Times New Roman" w:cstheme="minorHAnsi"/>
          <w:color w:val="000000"/>
          <w:sz w:val="24"/>
          <w:szCs w:val="24"/>
          <w:lang w:val="en"/>
        </w:rPr>
        <w:t>The assessment is completed (in full or in part) on patients receiving post-acute care in Inpatient Rehab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>ilitation</w:t>
      </w:r>
      <w:r w:rsidR="000470AE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Facilities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 xml:space="preserve"> (IRF)</w:t>
      </w:r>
      <w:r w:rsidR="000470AE" w:rsidRPr="00AF3BD5">
        <w:rPr>
          <w:rFonts w:eastAsia="Times New Roman" w:cstheme="minorHAnsi"/>
          <w:color w:val="000000"/>
          <w:sz w:val="24"/>
          <w:szCs w:val="24"/>
          <w:lang w:val="en"/>
        </w:rPr>
        <w:t>, Skilled Nursing Facilities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 xml:space="preserve"> (SNF)</w:t>
      </w:r>
      <w:r w:rsidR="000470AE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and Nursing Facilities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 xml:space="preserve"> (NF)</w:t>
      </w:r>
      <w:r w:rsidR="000470AE" w:rsidRPr="00AF3BD5">
        <w:rPr>
          <w:rFonts w:eastAsia="Times New Roman" w:cstheme="minorHAnsi"/>
          <w:color w:val="000000"/>
          <w:sz w:val="24"/>
          <w:szCs w:val="24"/>
          <w:lang w:val="en"/>
        </w:rPr>
        <w:t>, Medicare Home Health Agencies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 xml:space="preserve"> (HHA)</w:t>
      </w:r>
      <w:r w:rsidR="000470AE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, and </w:t>
      </w:r>
      <w:r w:rsidR="008E3237" w:rsidRPr="00AF3BD5">
        <w:rPr>
          <w:rFonts w:eastAsia="Times New Roman" w:cstheme="minorHAnsi"/>
          <w:color w:val="000000"/>
          <w:sz w:val="24"/>
          <w:szCs w:val="24"/>
          <w:lang w:val="en"/>
        </w:rPr>
        <w:t>Long-Term</w:t>
      </w:r>
      <w:r w:rsidR="000470AE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Care Hospitals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 xml:space="preserve"> (LTCH)</w:t>
      </w:r>
      <w:r w:rsidR="000470AE" w:rsidRPr="00AF3BD5">
        <w:rPr>
          <w:rFonts w:eastAsia="Times New Roman" w:cstheme="minorHAnsi"/>
          <w:color w:val="000000"/>
          <w:sz w:val="24"/>
          <w:szCs w:val="24"/>
          <w:lang w:val="en"/>
        </w:rPr>
        <w:t>. Items in the assessment ar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 xml:space="preserve">e also used the </w:t>
      </w:r>
      <w:r w:rsidR="000470AE" w:rsidRPr="00AF3BD5">
        <w:rPr>
          <w:rFonts w:eastAsia="Times New Roman" w:cstheme="minorHAnsi"/>
          <w:color w:val="000000"/>
          <w:sz w:val="24"/>
          <w:szCs w:val="24"/>
          <w:lang w:val="en"/>
        </w:rPr>
        <w:t>Functiona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>l Assessment Standardized Items (FASI)</w:t>
      </w:r>
      <w:r w:rsidR="000470AE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tool used for patients served by home and </w:t>
      </w:r>
      <w:r w:rsidR="008E3237" w:rsidRPr="00AF3BD5">
        <w:rPr>
          <w:rFonts w:eastAsia="Times New Roman" w:cstheme="minorHAnsi"/>
          <w:color w:val="000000"/>
          <w:sz w:val="24"/>
          <w:szCs w:val="24"/>
          <w:lang w:val="en"/>
        </w:rPr>
        <w:t>community-based</w:t>
      </w:r>
      <w:r w:rsidR="000470AE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service providers.</w:t>
      </w:r>
    </w:p>
    <w:p w14:paraId="4F2D0E6E" w14:textId="6E6463C5" w:rsidR="009A739A" w:rsidRPr="00AF3BD5" w:rsidRDefault="009A739A" w:rsidP="00146F24">
      <w:pPr>
        <w:numPr>
          <w:ilvl w:val="1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r w:rsidRPr="00AF3BD5">
        <w:rPr>
          <w:rFonts w:eastAsia="Times New Roman" w:cstheme="minorHAnsi"/>
          <w:b/>
          <w:i/>
          <w:color w:val="000000"/>
          <w:sz w:val="24"/>
          <w:szCs w:val="24"/>
          <w:lang w:val="en"/>
        </w:rPr>
        <w:t xml:space="preserve">Other </w:t>
      </w:r>
      <w:r w:rsidR="0027145C" w:rsidRPr="00AF3BD5">
        <w:rPr>
          <w:rFonts w:eastAsia="Times New Roman" w:cstheme="minorHAnsi"/>
          <w:b/>
          <w:i/>
          <w:color w:val="000000"/>
          <w:sz w:val="24"/>
          <w:szCs w:val="24"/>
          <w:lang w:val="en"/>
        </w:rPr>
        <w:t>Comment</w:t>
      </w:r>
      <w:r w:rsidRPr="00AF3BD5">
        <w:rPr>
          <w:rFonts w:eastAsia="Times New Roman" w:cstheme="minorHAnsi"/>
          <w:b/>
          <w:i/>
          <w:color w:val="000000"/>
          <w:sz w:val="24"/>
          <w:szCs w:val="24"/>
          <w:lang w:val="en"/>
        </w:rPr>
        <w:t>s</w:t>
      </w:r>
      <w:r w:rsidR="0027145C" w:rsidRPr="00AF3BD5">
        <w:rPr>
          <w:rFonts w:eastAsia="Times New Roman" w:cstheme="minorHAnsi"/>
          <w:b/>
          <w:i/>
          <w:color w:val="000000"/>
          <w:sz w:val="24"/>
          <w:szCs w:val="24"/>
          <w:lang w:val="en"/>
        </w:rPr>
        <w:t>:</w:t>
      </w:r>
      <w:r w:rsidR="0027145C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</w:t>
      </w:r>
      <w:r w:rsidR="000470AE" w:rsidRPr="00AF3BD5">
        <w:rPr>
          <w:rFonts w:eastAsia="Times New Roman" w:cstheme="minorHAnsi"/>
          <w:color w:val="000000"/>
          <w:sz w:val="24"/>
          <w:szCs w:val="24"/>
          <w:lang w:val="en"/>
        </w:rPr>
        <w:t>There is an opportunity for the ISA to further define the area</w:t>
      </w: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>s</w:t>
      </w:r>
      <w:r w:rsidR="000470AE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of</w:t>
      </w:r>
      <w:r w:rsidR="008B49AB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functional status include</w:t>
      </w:r>
      <w:r w:rsidR="000470AE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in this section</w:t>
      </w: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(e.g. 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>Activities of Daily Living (</w:t>
      </w: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>ADLs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>)</w:t>
      </w: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, 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>Instrumental Activities of Daily Living (</w:t>
      </w: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>IADLs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>)</w:t>
      </w: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>, Mobility, Mental/Cognitive, Hearing/Speech/Vision)</w:t>
      </w:r>
      <w:r w:rsidR="000470AE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.  </w:t>
      </w:r>
    </w:p>
    <w:p w14:paraId="59FFBA04" w14:textId="4333E9DD" w:rsidR="009A739A" w:rsidRPr="00AF3BD5" w:rsidRDefault="000470AE" w:rsidP="00146F24">
      <w:pPr>
        <w:numPr>
          <w:ilvl w:val="2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>In the past</w:t>
      </w:r>
      <w:r w:rsidR="008B49AB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cognitive status </w:t>
      </w: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was included in </w:t>
      </w:r>
      <w:r w:rsidR="009A739A" w:rsidRPr="00AF3BD5">
        <w:rPr>
          <w:rFonts w:eastAsia="Times New Roman" w:cstheme="minorHAnsi"/>
          <w:color w:val="000000"/>
          <w:sz w:val="24"/>
          <w:szCs w:val="24"/>
          <w:lang w:val="en"/>
        </w:rPr>
        <w:t>functional status</w:t>
      </w: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in a 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>Consolidated Clinical Document Architecture (</w:t>
      </w:r>
      <w:r w:rsidR="008B49AB" w:rsidRPr="00AF3BD5">
        <w:rPr>
          <w:rFonts w:eastAsia="Times New Roman" w:cstheme="minorHAnsi"/>
          <w:color w:val="000000"/>
          <w:sz w:val="24"/>
          <w:szCs w:val="24"/>
          <w:lang w:val="en"/>
        </w:rPr>
        <w:t>C</w:t>
      </w: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>-</w:t>
      </w:r>
      <w:r w:rsidR="008B49AB" w:rsidRPr="00AF3BD5">
        <w:rPr>
          <w:rFonts w:eastAsia="Times New Roman" w:cstheme="minorHAnsi"/>
          <w:color w:val="000000"/>
          <w:sz w:val="24"/>
          <w:szCs w:val="24"/>
          <w:lang w:val="en"/>
        </w:rPr>
        <w:t>CDA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>)</w:t>
      </w:r>
      <w:r w:rsidR="008B49AB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</w:t>
      </w: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document. It has recently been moved from functional status </w:t>
      </w:r>
      <w:r w:rsidR="009A739A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to a separate area and the name changed to mental status.  </w:t>
      </w:r>
    </w:p>
    <w:p w14:paraId="36475920" w14:textId="227DE825" w:rsidR="009A739A" w:rsidRPr="00AF3BD5" w:rsidRDefault="009A739A" w:rsidP="00146F24">
      <w:pPr>
        <w:numPr>
          <w:ilvl w:val="2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>If mental status is not included in this section, then it appears to be a gap in the ISA.</w:t>
      </w:r>
    </w:p>
    <w:p w14:paraId="15A643EF" w14:textId="7BAEA882" w:rsidR="008B49AB" w:rsidRPr="00AF3BD5" w:rsidRDefault="009A739A" w:rsidP="00146F24">
      <w:pPr>
        <w:numPr>
          <w:ilvl w:val="2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>Similar to mental/cognitive status, it is not clear if</w:t>
      </w:r>
      <w:r w:rsidRPr="00AF3BD5">
        <w:rPr>
          <w:rFonts w:eastAsia="Times New Roman" w:cstheme="minorHAnsi"/>
          <w:color w:val="000000"/>
          <w:sz w:val="24"/>
          <w:szCs w:val="24"/>
          <w:u w:val="single"/>
          <w:lang w:val="en"/>
        </w:rPr>
        <w:t xml:space="preserve"> </w:t>
      </w:r>
      <w:r w:rsidR="008B49AB"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hearing, </w:t>
      </w: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speech and </w:t>
      </w:r>
      <w:r w:rsidR="008B49AB" w:rsidRPr="00AF3BD5">
        <w:rPr>
          <w:rFonts w:eastAsia="Times New Roman" w:cstheme="minorHAnsi"/>
          <w:color w:val="000000"/>
          <w:sz w:val="24"/>
          <w:szCs w:val="24"/>
          <w:lang w:val="en"/>
        </w:rPr>
        <w:t>vision</w:t>
      </w: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status is considered part of functional status or if it is a gap in the ISA.   </w:t>
      </w:r>
      <w:r w:rsidR="007C72A1">
        <w:rPr>
          <w:rFonts w:eastAsia="Times New Roman" w:cstheme="minorHAnsi"/>
          <w:color w:val="000000"/>
          <w:sz w:val="24"/>
          <w:szCs w:val="24"/>
          <w:lang w:val="en"/>
        </w:rPr>
        <w:br/>
      </w:r>
    </w:p>
    <w:p w14:paraId="55C53969" w14:textId="25AD8CC8" w:rsidR="00C22C80" w:rsidRPr="00146F24" w:rsidRDefault="00C22C80" w:rsidP="00146F24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r w:rsidRPr="007C72A1">
        <w:rPr>
          <w:rFonts w:eastAsia="Times New Roman" w:cstheme="minorHAnsi"/>
          <w:b/>
          <w:color w:val="000000"/>
          <w:sz w:val="28"/>
          <w:szCs w:val="24"/>
          <w:lang w:val="en"/>
        </w:rPr>
        <w:t>I-L: Nursing</w:t>
      </w:r>
      <w:r w:rsidR="00146F24" w:rsidRPr="007C72A1">
        <w:rPr>
          <w:rFonts w:eastAsia="Times New Roman" w:cstheme="minorHAnsi"/>
          <w:b/>
          <w:color w:val="000000"/>
          <w:sz w:val="28"/>
          <w:szCs w:val="24"/>
          <w:lang w:val="en"/>
        </w:rPr>
        <w:t xml:space="preserve"> - </w:t>
      </w:r>
      <w:r w:rsidR="00146F24" w:rsidRPr="007C72A1">
        <w:rPr>
          <w:rFonts w:cstheme="minorHAnsi"/>
          <w:b/>
          <w:sz w:val="28"/>
          <w:szCs w:val="24"/>
        </w:rPr>
        <w:t>Representing Clinical/Nursing Assessments</w:t>
      </w:r>
      <w:r w:rsidR="00146F24" w:rsidRPr="007C72A1">
        <w:rPr>
          <w:rFonts w:cstheme="minorHAnsi"/>
          <w:sz w:val="28"/>
          <w:szCs w:val="24"/>
        </w:rPr>
        <w:t xml:space="preserve"> </w:t>
      </w:r>
    </w:p>
    <w:p w14:paraId="72198AC4" w14:textId="77BCE889" w:rsidR="008402F0" w:rsidRDefault="00146F24" w:rsidP="008C135D">
      <w:pPr>
        <w:numPr>
          <w:ilvl w:val="1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r w:rsidRPr="00AF3BD5">
        <w:rPr>
          <w:rFonts w:eastAsia="Times New Roman" w:cstheme="minorHAnsi"/>
          <w:b/>
          <w:i/>
          <w:color w:val="000000"/>
          <w:sz w:val="24"/>
          <w:szCs w:val="24"/>
          <w:lang w:val="en"/>
        </w:rPr>
        <w:lastRenderedPageBreak/>
        <w:t>Recommendation:</w:t>
      </w:r>
      <w:r>
        <w:rPr>
          <w:rFonts w:eastAsia="Times New Roman" w:cstheme="minorHAnsi"/>
          <w:b/>
          <w:i/>
          <w:color w:val="000000"/>
          <w:sz w:val="24"/>
          <w:szCs w:val="24"/>
          <w:lang w:val="en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en"/>
        </w:rPr>
        <w:t>T</w:t>
      </w: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he CMS DEL HITWG recommends </w:t>
      </w:r>
      <w:r w:rsidR="008C135D">
        <w:rPr>
          <w:rFonts w:eastAsia="Times New Roman" w:cstheme="minorHAnsi"/>
          <w:color w:val="000000"/>
          <w:sz w:val="24"/>
          <w:szCs w:val="24"/>
          <w:lang w:val="en"/>
        </w:rPr>
        <w:t>including the CMS post-acute care clinical assessments and referencing</w:t>
      </w:r>
      <w:r w:rsidRPr="00AF3BD5">
        <w:rPr>
          <w:rFonts w:eastAsia="Times New Roman" w:cstheme="minorHAnsi"/>
          <w:color w:val="000000"/>
          <w:sz w:val="24"/>
          <w:szCs w:val="24"/>
          <w:lang w:val="en"/>
        </w:rPr>
        <w:t xml:space="preserve"> the CMS DEL </w:t>
      </w:r>
      <w:r w:rsidR="008C135D">
        <w:rPr>
          <w:rFonts w:eastAsia="Times New Roman" w:cstheme="minorHAnsi"/>
          <w:color w:val="000000"/>
          <w:sz w:val="24"/>
          <w:szCs w:val="24"/>
          <w:lang w:val="en"/>
        </w:rPr>
        <w:t xml:space="preserve">for related LOINC and SNOMED codes.  CMS 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 xml:space="preserve">assessments include: </w:t>
      </w:r>
    </w:p>
    <w:p w14:paraId="3E102955" w14:textId="1BC70A3C" w:rsidR="008402F0" w:rsidRDefault="0082047E" w:rsidP="008402F0">
      <w:pPr>
        <w:numPr>
          <w:ilvl w:val="2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hyperlink r:id="rId12" w:history="1">
        <w:r w:rsidR="008402F0" w:rsidRPr="00343F8F">
          <w:rPr>
            <w:rStyle w:val="Hyperlink"/>
            <w:rFonts w:eastAsia="Times New Roman" w:cstheme="minorHAnsi"/>
            <w:sz w:val="24"/>
            <w:szCs w:val="24"/>
            <w:lang w:val="en"/>
          </w:rPr>
          <w:t>Resident Assessment Instrument (RAI) Minimum Data Set (MDS)</w:t>
        </w:r>
        <w:r w:rsidR="00343F8F" w:rsidRPr="00343F8F">
          <w:rPr>
            <w:rStyle w:val="Hyperlink"/>
            <w:rFonts w:eastAsia="Times New Roman" w:cstheme="minorHAnsi"/>
            <w:sz w:val="24"/>
            <w:szCs w:val="24"/>
            <w:lang w:val="en"/>
          </w:rPr>
          <w:t xml:space="preserve"> v.1.16</w:t>
        </w:r>
      </w:hyperlink>
      <w:r w:rsidR="008402F0">
        <w:rPr>
          <w:rFonts w:eastAsia="Times New Roman" w:cstheme="minorHAnsi"/>
          <w:color w:val="000000"/>
          <w:sz w:val="24"/>
          <w:szCs w:val="24"/>
          <w:lang w:val="en"/>
        </w:rPr>
        <w:t xml:space="preserve"> –</w:t>
      </w:r>
      <w:r w:rsidR="00343F8F">
        <w:rPr>
          <w:rFonts w:eastAsia="Times New Roman" w:cstheme="minorHAnsi"/>
          <w:color w:val="000000"/>
          <w:sz w:val="24"/>
          <w:szCs w:val="24"/>
          <w:lang w:val="en"/>
        </w:rPr>
        <w:t xml:space="preserve"> S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 xml:space="preserve">killed </w:t>
      </w:r>
      <w:r w:rsidR="00343F8F">
        <w:rPr>
          <w:rFonts w:eastAsia="Times New Roman" w:cstheme="minorHAnsi"/>
          <w:color w:val="000000"/>
          <w:sz w:val="24"/>
          <w:szCs w:val="24"/>
          <w:lang w:val="en"/>
        </w:rPr>
        <w:t>N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ursing Facilities</w:t>
      </w:r>
      <w:r w:rsidR="00343F8F">
        <w:rPr>
          <w:rFonts w:eastAsia="Times New Roman" w:cstheme="minorHAnsi"/>
          <w:color w:val="000000"/>
          <w:sz w:val="24"/>
          <w:szCs w:val="24"/>
          <w:lang w:val="en"/>
        </w:rPr>
        <w:t xml:space="preserve">, 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Nursing Homes</w:t>
      </w:r>
      <w:r w:rsidR="00343F8F">
        <w:rPr>
          <w:rFonts w:eastAsia="Times New Roman" w:cstheme="minorHAnsi"/>
          <w:color w:val="000000"/>
          <w:sz w:val="24"/>
          <w:szCs w:val="24"/>
          <w:lang w:val="en"/>
        </w:rPr>
        <w:t>, and</w:t>
      </w:r>
      <w:r w:rsidR="008402F0">
        <w:rPr>
          <w:rFonts w:eastAsia="Times New Roman" w:cstheme="minorHAnsi"/>
          <w:color w:val="000000"/>
          <w:sz w:val="24"/>
          <w:szCs w:val="24"/>
          <w:lang w:val="en"/>
        </w:rPr>
        <w:t xml:space="preserve"> Swing Bed Facilities</w:t>
      </w:r>
      <w:r w:rsidR="008C135D">
        <w:rPr>
          <w:rFonts w:eastAsia="Times New Roman" w:cstheme="minorHAnsi"/>
          <w:color w:val="000000"/>
          <w:sz w:val="24"/>
          <w:szCs w:val="24"/>
          <w:lang w:val="en"/>
        </w:rPr>
        <w:t xml:space="preserve"> </w:t>
      </w:r>
    </w:p>
    <w:p w14:paraId="121A963F" w14:textId="4D43FD12" w:rsidR="008402F0" w:rsidRDefault="0082047E" w:rsidP="008402F0">
      <w:pPr>
        <w:numPr>
          <w:ilvl w:val="2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hyperlink r:id="rId13" w:history="1">
        <w:r w:rsidR="008402F0" w:rsidRPr="00343F8F">
          <w:rPr>
            <w:rStyle w:val="Hyperlink"/>
            <w:rFonts w:eastAsia="Times New Roman" w:cstheme="minorHAnsi"/>
            <w:sz w:val="24"/>
            <w:szCs w:val="24"/>
            <w:lang w:val="en"/>
          </w:rPr>
          <w:t>Outcome and Assessment Information Set (</w:t>
        </w:r>
        <w:r w:rsidR="008C135D" w:rsidRPr="00343F8F">
          <w:rPr>
            <w:rStyle w:val="Hyperlink"/>
            <w:rFonts w:eastAsia="Times New Roman" w:cstheme="minorHAnsi"/>
            <w:sz w:val="24"/>
            <w:szCs w:val="24"/>
            <w:lang w:val="en"/>
          </w:rPr>
          <w:t>OASIS</w:t>
        </w:r>
        <w:r w:rsidR="008402F0" w:rsidRPr="00343F8F">
          <w:rPr>
            <w:rStyle w:val="Hyperlink"/>
            <w:rFonts w:eastAsia="Times New Roman" w:cstheme="minorHAnsi"/>
            <w:sz w:val="24"/>
            <w:szCs w:val="24"/>
            <w:lang w:val="en"/>
          </w:rPr>
          <w:t>)</w:t>
        </w:r>
        <w:r w:rsidR="00343F8F" w:rsidRPr="00343F8F">
          <w:rPr>
            <w:rStyle w:val="Hyperlink"/>
            <w:rFonts w:eastAsia="Times New Roman" w:cstheme="minorHAnsi"/>
            <w:sz w:val="24"/>
            <w:szCs w:val="24"/>
            <w:lang w:val="en"/>
          </w:rPr>
          <w:t>- version C2</w:t>
        </w:r>
      </w:hyperlink>
      <w:r w:rsidR="008C135D">
        <w:rPr>
          <w:rFonts w:eastAsia="Times New Roman" w:cstheme="minorHAnsi"/>
          <w:color w:val="000000"/>
          <w:sz w:val="24"/>
          <w:szCs w:val="24"/>
          <w:lang w:val="en"/>
        </w:rPr>
        <w:t xml:space="preserve"> </w:t>
      </w:r>
      <w:r w:rsidR="00343F8F">
        <w:rPr>
          <w:rFonts w:eastAsia="Times New Roman" w:cstheme="minorHAnsi"/>
          <w:color w:val="000000"/>
          <w:sz w:val="24"/>
          <w:szCs w:val="24"/>
          <w:lang w:val="en"/>
        </w:rPr>
        <w:t xml:space="preserve">– 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Home Health Agencies</w:t>
      </w:r>
    </w:p>
    <w:p w14:paraId="14FB0706" w14:textId="59746604" w:rsidR="008402F0" w:rsidRDefault="0082047E" w:rsidP="008402F0">
      <w:pPr>
        <w:numPr>
          <w:ilvl w:val="2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hyperlink r:id="rId14" w:history="1">
        <w:r w:rsidR="008402F0" w:rsidRPr="00343F8F">
          <w:rPr>
            <w:rStyle w:val="Hyperlink"/>
            <w:rFonts w:eastAsia="Times New Roman" w:cstheme="minorHAnsi"/>
            <w:sz w:val="24"/>
            <w:szCs w:val="24"/>
            <w:lang w:val="en"/>
          </w:rPr>
          <w:t>Inpatient Rehabilitation Facility Patient Assessment Instrument (</w:t>
        </w:r>
        <w:r w:rsidR="008C135D" w:rsidRPr="00343F8F">
          <w:rPr>
            <w:rStyle w:val="Hyperlink"/>
            <w:rFonts w:eastAsia="Times New Roman" w:cstheme="minorHAnsi"/>
            <w:sz w:val="24"/>
            <w:szCs w:val="24"/>
            <w:lang w:val="en"/>
          </w:rPr>
          <w:t>IRF-PAI</w:t>
        </w:r>
        <w:r w:rsidR="008402F0" w:rsidRPr="00343F8F">
          <w:rPr>
            <w:rStyle w:val="Hyperlink"/>
            <w:rFonts w:eastAsia="Times New Roman" w:cstheme="minorHAnsi"/>
            <w:sz w:val="24"/>
            <w:szCs w:val="24"/>
            <w:lang w:val="en"/>
          </w:rPr>
          <w:t>)</w:t>
        </w:r>
        <w:r w:rsidR="00343F8F" w:rsidRPr="00343F8F">
          <w:rPr>
            <w:rStyle w:val="Hyperlink"/>
            <w:rFonts w:eastAsia="Times New Roman" w:cstheme="minorHAnsi"/>
            <w:sz w:val="24"/>
            <w:szCs w:val="24"/>
            <w:lang w:val="en"/>
          </w:rPr>
          <w:t xml:space="preserve"> v.2.0</w:t>
        </w:r>
      </w:hyperlink>
      <w:r w:rsidR="00343F8F">
        <w:rPr>
          <w:rFonts w:eastAsia="Times New Roman" w:cstheme="minorHAnsi"/>
          <w:color w:val="000000"/>
          <w:sz w:val="24"/>
          <w:szCs w:val="24"/>
          <w:lang w:val="en"/>
        </w:rPr>
        <w:t xml:space="preserve"> -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 xml:space="preserve"> Inpatient Rehabilitation Facilities</w:t>
      </w:r>
    </w:p>
    <w:p w14:paraId="60361FD6" w14:textId="2B60739E" w:rsidR="008C135D" w:rsidRPr="008C135D" w:rsidRDefault="0082047E" w:rsidP="008402F0">
      <w:pPr>
        <w:numPr>
          <w:ilvl w:val="2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hyperlink r:id="rId15" w:history="1">
        <w:r w:rsidR="008402F0" w:rsidRPr="00343F8F">
          <w:rPr>
            <w:rStyle w:val="Hyperlink"/>
            <w:rFonts w:eastAsia="Times New Roman" w:cstheme="minorHAnsi"/>
            <w:sz w:val="24"/>
            <w:szCs w:val="24"/>
            <w:lang w:val="en"/>
          </w:rPr>
          <w:t>Long-Term Care Hospital Continuity Assessment Record &amp; Evaluation (CARE) Data Set (</w:t>
        </w:r>
        <w:r w:rsidR="008C135D" w:rsidRPr="00343F8F">
          <w:rPr>
            <w:rStyle w:val="Hyperlink"/>
            <w:rFonts w:eastAsia="Times New Roman" w:cstheme="minorHAnsi"/>
            <w:sz w:val="24"/>
            <w:szCs w:val="24"/>
            <w:lang w:val="en"/>
          </w:rPr>
          <w:t>LC</w:t>
        </w:r>
        <w:r w:rsidR="005B6E70" w:rsidRPr="00343F8F">
          <w:rPr>
            <w:rStyle w:val="Hyperlink"/>
            <w:rFonts w:eastAsia="Times New Roman" w:cstheme="minorHAnsi"/>
            <w:sz w:val="24"/>
            <w:szCs w:val="24"/>
            <w:lang w:val="en"/>
          </w:rPr>
          <w:t>DS</w:t>
        </w:r>
        <w:r w:rsidR="008402F0" w:rsidRPr="00343F8F">
          <w:rPr>
            <w:rStyle w:val="Hyperlink"/>
            <w:rFonts w:eastAsia="Times New Roman" w:cstheme="minorHAnsi"/>
            <w:sz w:val="24"/>
            <w:szCs w:val="24"/>
            <w:lang w:val="en"/>
          </w:rPr>
          <w:t>)</w:t>
        </w:r>
        <w:r w:rsidR="00343F8F" w:rsidRPr="00343F8F">
          <w:rPr>
            <w:rStyle w:val="Hyperlink"/>
            <w:rFonts w:eastAsia="Times New Roman" w:cstheme="minorHAnsi"/>
            <w:sz w:val="24"/>
            <w:szCs w:val="24"/>
            <w:lang w:val="en"/>
          </w:rPr>
          <w:t xml:space="preserve"> v.4.0</w:t>
        </w:r>
      </w:hyperlink>
      <w:r w:rsidR="00343F8F">
        <w:rPr>
          <w:rFonts w:eastAsia="Times New Roman" w:cstheme="minorHAnsi"/>
          <w:color w:val="000000"/>
          <w:sz w:val="24"/>
          <w:szCs w:val="24"/>
          <w:lang w:val="en"/>
        </w:rPr>
        <w:t xml:space="preserve"> – L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ong-Term Care Facilities</w:t>
      </w:r>
    </w:p>
    <w:p w14:paraId="5A02BD6E" w14:textId="361A6D91" w:rsidR="006653E6" w:rsidRPr="006653E6" w:rsidRDefault="008C135D" w:rsidP="006653E6">
      <w:pPr>
        <w:numPr>
          <w:ilvl w:val="1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r w:rsidRPr="008C135D">
        <w:rPr>
          <w:rFonts w:eastAsia="Times New Roman" w:cstheme="minorHAnsi"/>
          <w:b/>
          <w:i/>
          <w:color w:val="000000"/>
          <w:sz w:val="24"/>
          <w:szCs w:val="24"/>
          <w:lang w:val="en"/>
        </w:rPr>
        <w:t>Other Comments:</w:t>
      </w:r>
    </w:p>
    <w:p w14:paraId="748242DF" w14:textId="6041DE87" w:rsidR="008C135D" w:rsidRDefault="008C135D" w:rsidP="008C135D">
      <w:pPr>
        <w:numPr>
          <w:ilvl w:val="2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r>
        <w:rPr>
          <w:rFonts w:eastAsia="Times New Roman" w:cstheme="minorHAnsi"/>
          <w:color w:val="000000"/>
          <w:sz w:val="24"/>
          <w:szCs w:val="24"/>
          <w:lang w:val="en"/>
        </w:rPr>
        <w:t xml:space="preserve">Each clinical assessment includes a subset of assessment items organized by clinical categories which could be referenced in </w:t>
      </w:r>
      <w:r w:rsidR="006E09DF">
        <w:rPr>
          <w:rFonts w:eastAsia="Times New Roman" w:cstheme="minorHAnsi"/>
          <w:color w:val="000000"/>
          <w:sz w:val="24"/>
          <w:szCs w:val="24"/>
          <w:lang w:val="en"/>
        </w:rPr>
        <w:t xml:space="preserve">individually in this section or in other sections of the ISA </w:t>
      </w:r>
      <w:r>
        <w:rPr>
          <w:rFonts w:eastAsia="Times New Roman" w:cstheme="minorHAnsi"/>
          <w:color w:val="000000"/>
          <w:sz w:val="24"/>
          <w:szCs w:val="24"/>
          <w:lang w:val="en"/>
        </w:rPr>
        <w:t xml:space="preserve">(e.g. see comments on functional status). </w:t>
      </w:r>
      <w:r w:rsidRPr="008C135D">
        <w:rPr>
          <w:rFonts w:eastAsia="Times New Roman" w:cstheme="minorHAnsi"/>
          <w:color w:val="000000"/>
          <w:sz w:val="24"/>
          <w:szCs w:val="24"/>
          <w:lang w:val="en"/>
        </w:rPr>
        <w:t xml:space="preserve"> </w:t>
      </w:r>
    </w:p>
    <w:p w14:paraId="2CA59F90" w14:textId="77777777" w:rsidR="007C72A1" w:rsidRDefault="006E09DF" w:rsidP="008C135D">
      <w:pPr>
        <w:numPr>
          <w:ilvl w:val="2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r>
        <w:rPr>
          <w:rFonts w:eastAsia="Times New Roman" w:cstheme="minorHAnsi"/>
          <w:color w:val="000000"/>
          <w:sz w:val="24"/>
          <w:szCs w:val="24"/>
          <w:lang w:val="en"/>
        </w:rPr>
        <w:t xml:space="preserve">The HITWG recommends updating the category name from “Nursing” to “Clinical” </w:t>
      </w:r>
      <w:r w:rsidR="007C72A1">
        <w:rPr>
          <w:rFonts w:eastAsia="Times New Roman" w:cstheme="minorHAnsi"/>
          <w:color w:val="000000"/>
          <w:sz w:val="24"/>
          <w:szCs w:val="24"/>
          <w:lang w:val="en"/>
        </w:rPr>
        <w:t xml:space="preserve">or Clinical/Nursing to reflect that the category is not limited to only nursing but other clinical disciplines as well.  </w:t>
      </w:r>
    </w:p>
    <w:p w14:paraId="3DEB5F33" w14:textId="0920D960" w:rsidR="007C72A1" w:rsidRDefault="007C72A1" w:rsidP="008C135D">
      <w:pPr>
        <w:numPr>
          <w:ilvl w:val="2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r>
        <w:rPr>
          <w:rFonts w:eastAsia="Times New Roman" w:cstheme="minorHAnsi"/>
          <w:color w:val="000000"/>
          <w:sz w:val="24"/>
          <w:szCs w:val="24"/>
          <w:lang w:val="en"/>
        </w:rPr>
        <w:t xml:space="preserve">The Section on Limitations, Dependencies, and Preconditions for Consideration appears to have a missing reference to 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Systematized Nomenclature of Medicine – Clinical Terms (</w:t>
      </w:r>
      <w:r>
        <w:rPr>
          <w:rFonts w:eastAsia="Times New Roman" w:cstheme="minorHAnsi"/>
          <w:color w:val="000000"/>
          <w:sz w:val="24"/>
          <w:szCs w:val="24"/>
          <w:lang w:val="en"/>
        </w:rPr>
        <w:t>SNOMED CT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)</w:t>
      </w:r>
      <w:r>
        <w:rPr>
          <w:rFonts w:eastAsia="Times New Roman" w:cstheme="minorHAnsi"/>
          <w:color w:val="000000"/>
          <w:sz w:val="24"/>
          <w:szCs w:val="24"/>
          <w:lang w:val="en"/>
        </w:rPr>
        <w:t>.</w:t>
      </w:r>
      <w:r w:rsidR="006653E6">
        <w:rPr>
          <w:rFonts w:eastAsia="Times New Roman" w:cstheme="minorHAnsi"/>
          <w:color w:val="000000"/>
          <w:sz w:val="24"/>
          <w:szCs w:val="24"/>
          <w:lang w:val="en"/>
        </w:rPr>
        <w:t xml:space="preserve"> (see below)</w:t>
      </w:r>
    </w:p>
    <w:p w14:paraId="5C241E3F" w14:textId="0D511798" w:rsidR="006E09DF" w:rsidRPr="008C135D" w:rsidRDefault="007C72A1" w:rsidP="007C72A1">
      <w:pPr>
        <w:spacing w:before="100" w:beforeAutospacing="1" w:after="100" w:afterAutospacing="1" w:line="360" w:lineRule="atLeast"/>
        <w:ind w:left="1080"/>
        <w:rPr>
          <w:rFonts w:eastAsia="Times New Roman" w:cstheme="minorHAnsi"/>
          <w:color w:val="000000"/>
          <w:sz w:val="24"/>
          <w:szCs w:val="24"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0BEBA" wp14:editId="3CE3BC78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4933950" cy="374650"/>
                <wp:effectExtent l="0" t="0" r="19050" b="254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374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510A03" id="Oval 2" o:spid="_x0000_s1026" style="position:absolute;margin-left:0;margin-top:23.5pt;width:388.5pt;height:2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" filled="f" strokecolor="red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742198B" wp14:editId="0902736F">
            <wp:extent cx="4603750" cy="139724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3600" cy="14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F8639" w14:textId="07C20AF5" w:rsidR="00BB073C" w:rsidRPr="006F29D2" w:rsidRDefault="00C22C80" w:rsidP="00BB073C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b/>
          <w:color w:val="000000"/>
          <w:sz w:val="28"/>
          <w:szCs w:val="24"/>
          <w:lang w:val="en"/>
        </w:rPr>
      </w:pPr>
      <w:r w:rsidRPr="006F29D2">
        <w:rPr>
          <w:rFonts w:eastAsia="Times New Roman" w:cstheme="minorHAnsi"/>
          <w:b/>
          <w:color w:val="000000"/>
          <w:sz w:val="28"/>
          <w:szCs w:val="24"/>
          <w:lang w:val="en"/>
        </w:rPr>
        <w:t>I-S: Social, Psychological, and Behavioral Data</w:t>
      </w:r>
      <w:r w:rsidR="007C72A1" w:rsidRPr="006F29D2">
        <w:rPr>
          <w:rFonts w:eastAsia="Times New Roman" w:cstheme="minorHAnsi"/>
          <w:b/>
          <w:color w:val="000000"/>
          <w:sz w:val="28"/>
          <w:szCs w:val="24"/>
          <w:lang w:val="en"/>
        </w:rPr>
        <w:t xml:space="preserve">: </w:t>
      </w:r>
    </w:p>
    <w:p w14:paraId="2E652ED9" w14:textId="77AF31EE" w:rsidR="006F29D2" w:rsidRDefault="006F29D2" w:rsidP="00BB073C">
      <w:pPr>
        <w:numPr>
          <w:ilvl w:val="1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b/>
          <w:color w:val="000000"/>
          <w:sz w:val="28"/>
          <w:szCs w:val="24"/>
          <w:lang w:val="en"/>
        </w:rPr>
      </w:pPr>
      <w:r>
        <w:rPr>
          <w:rFonts w:eastAsia="Times New Roman" w:cstheme="minorHAnsi"/>
          <w:b/>
          <w:color w:val="000000"/>
          <w:sz w:val="28"/>
          <w:szCs w:val="24"/>
          <w:lang w:val="en"/>
        </w:rPr>
        <w:t>General Comment for this Section</w:t>
      </w:r>
    </w:p>
    <w:p w14:paraId="4BB2ECFF" w14:textId="7046CC08" w:rsidR="006F29D2" w:rsidRPr="006F29D2" w:rsidRDefault="006F29D2" w:rsidP="006F29D2">
      <w:pPr>
        <w:numPr>
          <w:ilvl w:val="2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b/>
          <w:i/>
          <w:color w:val="000000"/>
          <w:sz w:val="24"/>
          <w:szCs w:val="24"/>
          <w:lang w:val="en"/>
        </w:rPr>
      </w:pPr>
      <w:r w:rsidRPr="006F29D2">
        <w:rPr>
          <w:rFonts w:eastAsia="Times New Roman" w:cstheme="minorHAnsi"/>
          <w:b/>
          <w:i/>
          <w:color w:val="000000"/>
          <w:sz w:val="24"/>
          <w:szCs w:val="24"/>
          <w:lang w:val="en"/>
        </w:rPr>
        <w:t>Recommendation:</w:t>
      </w:r>
      <w:r>
        <w:rPr>
          <w:rFonts w:eastAsia="Times New Roman" w:cstheme="minorHAnsi"/>
          <w:b/>
          <w:i/>
          <w:color w:val="000000"/>
          <w:sz w:val="24"/>
          <w:szCs w:val="24"/>
          <w:lang w:val="en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en"/>
        </w:rPr>
        <w:t>The DEL HITWG recommends that this section include a</w:t>
      </w:r>
      <w:r w:rsidR="00D07721">
        <w:rPr>
          <w:rFonts w:eastAsia="Times New Roman" w:cstheme="minorHAnsi"/>
          <w:color w:val="000000"/>
          <w:sz w:val="24"/>
          <w:szCs w:val="24"/>
          <w:lang w:val="en"/>
        </w:rPr>
        <w:t xml:space="preserve">n assessment of behavioral symptoms (physical behaviors directed toward others, verbal behaviors directed toward others, and other types of behaviors including 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self-harm)</w:t>
      </w:r>
      <w:r w:rsidR="00D07721">
        <w:rPr>
          <w:rFonts w:eastAsia="Times New Roman" w:cstheme="minorHAnsi"/>
          <w:color w:val="000000"/>
          <w:sz w:val="24"/>
          <w:szCs w:val="24"/>
          <w:lang w:val="en"/>
        </w:rPr>
        <w:t>.  The CMS DEL MDS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 xml:space="preserve"> v1.16</w:t>
      </w:r>
      <w:r w:rsidR="00D07721">
        <w:rPr>
          <w:rFonts w:eastAsia="Times New Roman" w:cstheme="minorHAnsi"/>
          <w:color w:val="000000"/>
          <w:sz w:val="24"/>
          <w:szCs w:val="24"/>
          <w:lang w:val="en"/>
        </w:rPr>
        <w:t xml:space="preserve"> assessment for Behavioral Symptoms includes this type of assessment and could be </w:t>
      </w:r>
      <w:r w:rsidR="00D07721">
        <w:rPr>
          <w:rFonts w:eastAsia="Times New Roman" w:cstheme="minorHAnsi"/>
          <w:color w:val="000000"/>
          <w:sz w:val="24"/>
          <w:szCs w:val="24"/>
          <w:lang w:val="en"/>
        </w:rPr>
        <w:lastRenderedPageBreak/>
        <w:t xml:space="preserve">referenced if there was an appropriate section designated for this type of behavioral data. </w:t>
      </w:r>
      <w:r>
        <w:rPr>
          <w:rFonts w:eastAsia="Times New Roman" w:cstheme="minorHAnsi"/>
          <w:b/>
          <w:i/>
          <w:color w:val="000000"/>
          <w:sz w:val="24"/>
          <w:szCs w:val="24"/>
          <w:lang w:val="en"/>
        </w:rPr>
        <w:br/>
      </w:r>
    </w:p>
    <w:p w14:paraId="6541899E" w14:textId="01517E41" w:rsidR="00C22C80" w:rsidRPr="006F29D2" w:rsidRDefault="00C22C80" w:rsidP="00BB073C">
      <w:pPr>
        <w:numPr>
          <w:ilvl w:val="1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b/>
          <w:color w:val="000000"/>
          <w:sz w:val="28"/>
          <w:szCs w:val="24"/>
          <w:lang w:val="en"/>
        </w:rPr>
      </w:pPr>
      <w:r w:rsidRPr="006F29D2">
        <w:rPr>
          <w:rFonts w:eastAsia="Times New Roman" w:cstheme="minorHAnsi"/>
          <w:b/>
          <w:color w:val="000000"/>
          <w:sz w:val="28"/>
          <w:szCs w:val="24"/>
          <w:lang w:val="en"/>
        </w:rPr>
        <w:t>Representing Depression</w:t>
      </w:r>
    </w:p>
    <w:p w14:paraId="6CDB7DB9" w14:textId="4202D521" w:rsidR="007C72A1" w:rsidRPr="006F29D2" w:rsidRDefault="00052F1D" w:rsidP="00BB073C">
      <w:pPr>
        <w:numPr>
          <w:ilvl w:val="2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b/>
          <w:i/>
          <w:color w:val="000000"/>
          <w:sz w:val="24"/>
          <w:szCs w:val="24"/>
          <w:lang w:val="en"/>
        </w:rPr>
      </w:pPr>
      <w:r w:rsidRPr="006F29D2">
        <w:rPr>
          <w:rFonts w:eastAsia="Times New Roman" w:cstheme="minorHAnsi"/>
          <w:b/>
          <w:i/>
          <w:color w:val="000000"/>
          <w:sz w:val="24"/>
          <w:szCs w:val="24"/>
          <w:lang w:val="en"/>
        </w:rPr>
        <w:t xml:space="preserve">Recommendation: </w:t>
      </w:r>
      <w:r w:rsidR="007C72A1" w:rsidRPr="006F29D2">
        <w:rPr>
          <w:rFonts w:eastAsia="Times New Roman" w:cstheme="minorHAnsi"/>
          <w:b/>
          <w:i/>
          <w:color w:val="000000"/>
          <w:sz w:val="24"/>
          <w:szCs w:val="24"/>
          <w:lang w:val="en"/>
        </w:rPr>
        <w:t xml:space="preserve"> </w:t>
      </w:r>
    </w:p>
    <w:p w14:paraId="34D57132" w14:textId="1B7E2636" w:rsidR="003B09BE" w:rsidRPr="006F29D2" w:rsidRDefault="00BB073C" w:rsidP="00687259">
      <w:pPr>
        <w:numPr>
          <w:ilvl w:val="3"/>
          <w:numId w:val="5"/>
        </w:num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4"/>
          <w:szCs w:val="24"/>
          <w:lang w:val="en"/>
        </w:rPr>
      </w:pPr>
      <w:r w:rsidRPr="006F29D2">
        <w:rPr>
          <w:rFonts w:eastAsia="Times New Roman" w:cstheme="minorHAnsi"/>
          <w:color w:val="000000"/>
          <w:sz w:val="24"/>
          <w:szCs w:val="24"/>
          <w:lang w:val="en"/>
        </w:rPr>
        <w:t xml:space="preserve">The DEL HITWG recommends that the 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Logical Observation Identifiers Names and Codes (</w:t>
      </w:r>
      <w:r w:rsidRPr="006F29D2">
        <w:rPr>
          <w:rFonts w:eastAsia="Times New Roman" w:cstheme="minorHAnsi"/>
          <w:color w:val="000000"/>
          <w:sz w:val="24"/>
          <w:szCs w:val="24"/>
          <w:lang w:val="en"/>
        </w:rPr>
        <w:t>LOINC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)</w:t>
      </w:r>
      <w:r w:rsidRPr="006F29D2">
        <w:rPr>
          <w:rFonts w:eastAsia="Times New Roman" w:cstheme="minorHAnsi"/>
          <w:color w:val="000000"/>
          <w:sz w:val="24"/>
          <w:szCs w:val="24"/>
          <w:lang w:val="en"/>
        </w:rPr>
        <w:t xml:space="preserve"> codes referenced in this section be updated to reflect the latest codes for the 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Patient Health Questionnaire-2 (</w:t>
      </w:r>
      <w:r w:rsidRPr="006F29D2">
        <w:rPr>
          <w:rFonts w:eastAsia="Times New Roman" w:cstheme="minorHAnsi"/>
          <w:color w:val="000000"/>
          <w:sz w:val="24"/>
          <w:szCs w:val="24"/>
          <w:lang w:val="en"/>
        </w:rPr>
        <w:t>PHQ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-</w:t>
      </w:r>
      <w:r w:rsidRPr="006F29D2">
        <w:rPr>
          <w:rFonts w:eastAsia="Times New Roman" w:cstheme="minorHAnsi"/>
          <w:color w:val="000000"/>
          <w:sz w:val="24"/>
          <w:szCs w:val="24"/>
          <w:lang w:val="en"/>
        </w:rPr>
        <w:t>2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)</w:t>
      </w:r>
      <w:r w:rsidRPr="006F29D2">
        <w:rPr>
          <w:rFonts w:eastAsia="Times New Roman" w:cstheme="minorHAnsi"/>
          <w:color w:val="000000"/>
          <w:sz w:val="24"/>
          <w:szCs w:val="24"/>
          <w:lang w:val="en"/>
        </w:rPr>
        <w:t xml:space="preserve"> and 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Patient Health Questionnaire-9 (</w:t>
      </w:r>
      <w:r w:rsidRPr="006F29D2">
        <w:rPr>
          <w:rFonts w:eastAsia="Times New Roman" w:cstheme="minorHAnsi"/>
          <w:color w:val="000000"/>
          <w:sz w:val="24"/>
          <w:szCs w:val="24"/>
          <w:lang w:val="en"/>
        </w:rPr>
        <w:t>PHQ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-</w:t>
      </w:r>
      <w:r w:rsidRPr="006F29D2">
        <w:rPr>
          <w:rFonts w:eastAsia="Times New Roman" w:cstheme="minorHAnsi"/>
          <w:color w:val="000000"/>
          <w:sz w:val="24"/>
          <w:szCs w:val="24"/>
          <w:lang w:val="en"/>
        </w:rPr>
        <w:t>9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)</w:t>
      </w:r>
      <w:r w:rsidRPr="006F29D2">
        <w:rPr>
          <w:rFonts w:eastAsia="Times New Roman" w:cstheme="minorHAnsi"/>
          <w:color w:val="000000"/>
          <w:sz w:val="24"/>
          <w:szCs w:val="24"/>
          <w:lang w:val="en"/>
        </w:rPr>
        <w:t>.  CMS Assessments include</w:t>
      </w:r>
      <w:r w:rsidR="00D07721">
        <w:rPr>
          <w:rFonts w:eastAsia="Times New Roman" w:cstheme="minorHAnsi"/>
          <w:color w:val="000000"/>
          <w:sz w:val="24"/>
          <w:szCs w:val="24"/>
          <w:lang w:val="en"/>
        </w:rPr>
        <w:t xml:space="preserve"> the PHQ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-</w:t>
      </w:r>
      <w:r w:rsidR="00D07721">
        <w:rPr>
          <w:rFonts w:eastAsia="Times New Roman" w:cstheme="minorHAnsi"/>
          <w:color w:val="000000"/>
          <w:sz w:val="24"/>
          <w:szCs w:val="24"/>
          <w:lang w:val="en"/>
        </w:rPr>
        <w:t>2 and PHQ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-</w:t>
      </w:r>
      <w:r w:rsidR="00D07721">
        <w:rPr>
          <w:rFonts w:eastAsia="Times New Roman" w:cstheme="minorHAnsi"/>
          <w:color w:val="000000"/>
          <w:sz w:val="24"/>
          <w:szCs w:val="24"/>
          <w:lang w:val="en"/>
        </w:rPr>
        <w:t xml:space="preserve">9 </w:t>
      </w:r>
      <w:r w:rsidR="00426C9C">
        <w:rPr>
          <w:rFonts w:eastAsia="Times New Roman" w:cstheme="minorHAnsi"/>
          <w:color w:val="000000"/>
          <w:sz w:val="24"/>
          <w:szCs w:val="24"/>
          <w:lang w:val="en"/>
        </w:rPr>
        <w:t>and reference different LOINC codes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>. The HITWG has</w:t>
      </w:r>
      <w:r w:rsidR="00426C9C">
        <w:rPr>
          <w:rFonts w:eastAsia="Times New Roman" w:cstheme="minorHAnsi"/>
          <w:color w:val="000000"/>
          <w:sz w:val="24"/>
          <w:szCs w:val="24"/>
          <w:lang w:val="en"/>
        </w:rPr>
        <w:t xml:space="preserve"> verified with Regenstrief</w:t>
      </w:r>
      <w:r w:rsidR="003654B4">
        <w:rPr>
          <w:rFonts w:eastAsia="Times New Roman" w:cstheme="minorHAnsi"/>
          <w:color w:val="000000"/>
          <w:sz w:val="24"/>
          <w:szCs w:val="24"/>
          <w:lang w:val="en"/>
        </w:rPr>
        <w:t xml:space="preserve"> Institute (RI)</w:t>
      </w:r>
      <w:r w:rsidR="00426C9C">
        <w:rPr>
          <w:rFonts w:eastAsia="Times New Roman" w:cstheme="minorHAnsi"/>
          <w:color w:val="000000"/>
          <w:sz w:val="24"/>
          <w:szCs w:val="24"/>
          <w:lang w:val="en"/>
        </w:rPr>
        <w:t xml:space="preserve"> that the codes in the ISA should be updated.</w:t>
      </w:r>
    </w:p>
    <w:sectPr w:rsidR="003B09BE" w:rsidRPr="006F29D2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34DDF1" w16cid:durableId="1F2E7140"/>
  <w16cid:commentId w16cid:paraId="1E032081" w16cid:durableId="1F2E79A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EB609" w14:textId="77777777" w:rsidR="005847DD" w:rsidRDefault="005847DD" w:rsidP="001E3CBC">
      <w:pPr>
        <w:spacing w:after="0" w:line="240" w:lineRule="auto"/>
      </w:pPr>
      <w:r>
        <w:separator/>
      </w:r>
    </w:p>
  </w:endnote>
  <w:endnote w:type="continuationSeparator" w:id="0">
    <w:p w14:paraId="2CC04FAE" w14:textId="77777777" w:rsidR="005847DD" w:rsidRDefault="005847DD" w:rsidP="001E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DCA26" w14:textId="68559B4F" w:rsidR="001E3CBC" w:rsidRPr="001E3CBC" w:rsidRDefault="001E3CBC" w:rsidP="001E3CBC">
    <w:pPr>
      <w:rPr>
        <w:sz w:val="20"/>
      </w:rPr>
    </w:pPr>
    <w:r w:rsidRPr="001E3CBC">
      <w:rPr>
        <w:sz w:val="20"/>
      </w:rPr>
      <w:t>CMS Data Element Librar</w:t>
    </w:r>
    <w:r w:rsidR="00687259">
      <w:rPr>
        <w:sz w:val="20"/>
      </w:rPr>
      <w:t>y HITWG Comments on ONC</w:t>
    </w: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DC859" wp14:editId="376BE29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63B9660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="00687259">
      <w:rPr>
        <w:sz w:val="20"/>
      </w:rPr>
      <w:t xml:space="preserve"> 2018 Interoperability Standards Advisory</w:t>
    </w:r>
    <w:r>
      <w:rPr>
        <w:sz w:val="20"/>
      </w:rPr>
      <w:tab/>
    </w:r>
    <w:r>
      <w:rPr>
        <w:sz w:val="20"/>
      </w:rPr>
      <w:tab/>
      <w:t>P</w:t>
    </w:r>
    <w:r w:rsidRPr="001E3CBC">
      <w:rPr>
        <w:rFonts w:asciiTheme="majorHAnsi" w:eastAsiaTheme="majorEastAsia" w:hAnsiTheme="majorHAnsi" w:cstheme="majorBidi"/>
        <w:sz w:val="20"/>
        <w:szCs w:val="20"/>
      </w:rPr>
      <w:t xml:space="preserve">age </w:t>
    </w:r>
    <w:r w:rsidRPr="001E3CBC">
      <w:rPr>
        <w:rFonts w:eastAsiaTheme="minorEastAsia"/>
        <w:sz w:val="20"/>
        <w:szCs w:val="20"/>
      </w:rPr>
      <w:fldChar w:fldCharType="begin"/>
    </w:r>
    <w:r w:rsidRPr="001E3CBC">
      <w:rPr>
        <w:sz w:val="20"/>
        <w:szCs w:val="20"/>
      </w:rPr>
      <w:instrText xml:space="preserve"> PAGE    \* MERGEFORMAT </w:instrText>
    </w:r>
    <w:r w:rsidRPr="001E3CBC">
      <w:rPr>
        <w:rFonts w:eastAsiaTheme="minorEastAsia"/>
        <w:sz w:val="20"/>
        <w:szCs w:val="20"/>
      </w:rPr>
      <w:fldChar w:fldCharType="separate"/>
    </w:r>
    <w:r w:rsidR="0082047E" w:rsidRPr="0082047E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Pr="001E3CBC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43F39" w14:textId="77777777" w:rsidR="005847DD" w:rsidRDefault="005847DD" w:rsidP="001E3CBC">
      <w:pPr>
        <w:spacing w:after="0" w:line="240" w:lineRule="auto"/>
      </w:pPr>
      <w:r>
        <w:separator/>
      </w:r>
    </w:p>
  </w:footnote>
  <w:footnote w:type="continuationSeparator" w:id="0">
    <w:p w14:paraId="1D4FE020" w14:textId="77777777" w:rsidR="005847DD" w:rsidRDefault="005847DD" w:rsidP="001E3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4CBA"/>
    <w:multiLevelType w:val="multilevel"/>
    <w:tmpl w:val="7F0A495A"/>
    <w:lvl w:ilvl="0">
      <w:start w:val="1"/>
      <w:numFmt w:val="decimal"/>
      <w:pStyle w:val="TableText10Number"/>
      <w:lvlText w:val="%1"/>
      <w:lvlJc w:val="left"/>
      <w:pPr>
        <w:tabs>
          <w:tab w:val="num" w:pos="720"/>
        </w:tabs>
        <w:ind w:left="144" w:firstLine="0"/>
      </w:pPr>
      <w:rPr>
        <w:rFonts w:ascii="Calibri" w:hAnsi="Calibri" w:cs="Times New Roman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144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44" w:firstLine="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44" w:firstLine="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44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44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1" w15:restartNumberingAfterBreak="0">
    <w:nsid w:val="22E9761B"/>
    <w:multiLevelType w:val="hybridMultilevel"/>
    <w:tmpl w:val="0082E36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299322DA"/>
    <w:multiLevelType w:val="multilevel"/>
    <w:tmpl w:val="7F206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02C73"/>
    <w:multiLevelType w:val="multilevel"/>
    <w:tmpl w:val="2F4CF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EE5D8D"/>
    <w:multiLevelType w:val="hybridMultilevel"/>
    <w:tmpl w:val="6E425EA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BE"/>
    <w:rsid w:val="00000BA0"/>
    <w:rsid w:val="000470AE"/>
    <w:rsid w:val="00052F1D"/>
    <w:rsid w:val="00084272"/>
    <w:rsid w:val="00096566"/>
    <w:rsid w:val="000A3390"/>
    <w:rsid w:val="000F6742"/>
    <w:rsid w:val="00122485"/>
    <w:rsid w:val="00122E6D"/>
    <w:rsid w:val="00146F24"/>
    <w:rsid w:val="001712BD"/>
    <w:rsid w:val="001729D3"/>
    <w:rsid w:val="0018266F"/>
    <w:rsid w:val="00185541"/>
    <w:rsid w:val="001A4248"/>
    <w:rsid w:val="001A59B7"/>
    <w:rsid w:val="001B14E5"/>
    <w:rsid w:val="001C232E"/>
    <w:rsid w:val="001E3CBC"/>
    <w:rsid w:val="001F0CF8"/>
    <w:rsid w:val="00202D3F"/>
    <w:rsid w:val="002061DA"/>
    <w:rsid w:val="00206FAA"/>
    <w:rsid w:val="0022590B"/>
    <w:rsid w:val="002436DA"/>
    <w:rsid w:val="0025320E"/>
    <w:rsid w:val="0027145C"/>
    <w:rsid w:val="002765FD"/>
    <w:rsid w:val="002E73BF"/>
    <w:rsid w:val="00343F8F"/>
    <w:rsid w:val="003654B4"/>
    <w:rsid w:val="003811F7"/>
    <w:rsid w:val="003937E3"/>
    <w:rsid w:val="003B09BE"/>
    <w:rsid w:val="003E4219"/>
    <w:rsid w:val="00401A34"/>
    <w:rsid w:val="00426C9C"/>
    <w:rsid w:val="00432685"/>
    <w:rsid w:val="004815D5"/>
    <w:rsid w:val="004934C5"/>
    <w:rsid w:val="004A6F33"/>
    <w:rsid w:val="004E6C45"/>
    <w:rsid w:val="004F43B7"/>
    <w:rsid w:val="00530620"/>
    <w:rsid w:val="005707B4"/>
    <w:rsid w:val="00570CDF"/>
    <w:rsid w:val="005847DD"/>
    <w:rsid w:val="00596121"/>
    <w:rsid w:val="005A0A5A"/>
    <w:rsid w:val="005B48C8"/>
    <w:rsid w:val="005B6E70"/>
    <w:rsid w:val="005C7725"/>
    <w:rsid w:val="005E0271"/>
    <w:rsid w:val="00602331"/>
    <w:rsid w:val="006529EE"/>
    <w:rsid w:val="006653E6"/>
    <w:rsid w:val="00687259"/>
    <w:rsid w:val="006B7BD1"/>
    <w:rsid w:val="006C4011"/>
    <w:rsid w:val="006E09DF"/>
    <w:rsid w:val="006F29D2"/>
    <w:rsid w:val="007250BF"/>
    <w:rsid w:val="00736A5A"/>
    <w:rsid w:val="007C72A1"/>
    <w:rsid w:val="007D28ED"/>
    <w:rsid w:val="00800593"/>
    <w:rsid w:val="008048B0"/>
    <w:rsid w:val="008114C4"/>
    <w:rsid w:val="0082047E"/>
    <w:rsid w:val="008402F0"/>
    <w:rsid w:val="008B49AB"/>
    <w:rsid w:val="008C135D"/>
    <w:rsid w:val="008C4C08"/>
    <w:rsid w:val="008E3237"/>
    <w:rsid w:val="008E416F"/>
    <w:rsid w:val="00946ED8"/>
    <w:rsid w:val="00965559"/>
    <w:rsid w:val="009A129A"/>
    <w:rsid w:val="009A739A"/>
    <w:rsid w:val="009B1106"/>
    <w:rsid w:val="009C0CE3"/>
    <w:rsid w:val="009D6576"/>
    <w:rsid w:val="00A84550"/>
    <w:rsid w:val="00A91A26"/>
    <w:rsid w:val="00A96693"/>
    <w:rsid w:val="00AC44E5"/>
    <w:rsid w:val="00AE210F"/>
    <w:rsid w:val="00AE36CA"/>
    <w:rsid w:val="00AE4638"/>
    <w:rsid w:val="00AF3BD5"/>
    <w:rsid w:val="00B15F1F"/>
    <w:rsid w:val="00B61606"/>
    <w:rsid w:val="00B66DDA"/>
    <w:rsid w:val="00B7545F"/>
    <w:rsid w:val="00BB073C"/>
    <w:rsid w:val="00BC4638"/>
    <w:rsid w:val="00BD0B51"/>
    <w:rsid w:val="00C03269"/>
    <w:rsid w:val="00C22C80"/>
    <w:rsid w:val="00C31BA6"/>
    <w:rsid w:val="00C730C2"/>
    <w:rsid w:val="00C86423"/>
    <w:rsid w:val="00CD2069"/>
    <w:rsid w:val="00CD269E"/>
    <w:rsid w:val="00CF32AC"/>
    <w:rsid w:val="00D07721"/>
    <w:rsid w:val="00DE039A"/>
    <w:rsid w:val="00E0048D"/>
    <w:rsid w:val="00E14712"/>
    <w:rsid w:val="00E14800"/>
    <w:rsid w:val="00E560C7"/>
    <w:rsid w:val="00E749CA"/>
    <w:rsid w:val="00E83058"/>
    <w:rsid w:val="00EB0057"/>
    <w:rsid w:val="00F02807"/>
    <w:rsid w:val="00F44F7F"/>
    <w:rsid w:val="00F71B87"/>
    <w:rsid w:val="00F749FC"/>
    <w:rsid w:val="00F95E68"/>
    <w:rsid w:val="00FC1FB8"/>
    <w:rsid w:val="00FC264D"/>
    <w:rsid w:val="00FD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E2976"/>
  <w15:chartTrackingRefBased/>
  <w15:docId w15:val="{FC1E4670-A84B-49E1-BAC9-50F9F96E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9B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rsid w:val="003B09B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09BE"/>
    <w:pPr>
      <w:spacing w:before="120" w:after="120" w:line="240" w:lineRule="auto"/>
      <w:ind w:left="72"/>
    </w:pPr>
    <w:rPr>
      <w:rFonts w:ascii="Arial" w:eastAsiaTheme="minorEastAsia" w:hAnsi="Arial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rsid w:val="003B09BE"/>
    <w:rPr>
      <w:rFonts w:ascii="Arial" w:eastAsiaTheme="minorEastAsia" w:hAnsi="Arial"/>
      <w:sz w:val="20"/>
      <w:szCs w:val="20"/>
      <w:lang w:eastAsia="ja-JP"/>
    </w:rPr>
  </w:style>
  <w:style w:type="paragraph" w:styleId="ListParagraph">
    <w:name w:val="List Paragraph"/>
    <w:aliases w:val="Bulleted List Level 1"/>
    <w:basedOn w:val="Normal"/>
    <w:link w:val="ListParagraphChar"/>
    <w:uiPriority w:val="34"/>
    <w:qFormat/>
    <w:rsid w:val="003B09BE"/>
    <w:pPr>
      <w:spacing w:before="120" w:after="120" w:line="240" w:lineRule="auto"/>
      <w:ind w:left="720"/>
    </w:pPr>
    <w:rPr>
      <w:rFonts w:ascii="Arial" w:eastAsiaTheme="minorEastAsia" w:hAnsi="Arial"/>
      <w:szCs w:val="21"/>
      <w:lang w:eastAsia="ja-JP"/>
    </w:rPr>
  </w:style>
  <w:style w:type="paragraph" w:customStyle="1" w:styleId="TableText10Number">
    <w:name w:val="Table Text 10 Number"/>
    <w:basedOn w:val="Normal"/>
    <w:link w:val="TableText10NumberChar"/>
    <w:uiPriority w:val="99"/>
    <w:rsid w:val="003B09BE"/>
    <w:pPr>
      <w:numPr>
        <w:numId w:val="1"/>
      </w:numPr>
      <w:tabs>
        <w:tab w:val="left" w:pos="432"/>
      </w:tabs>
      <w:spacing w:after="0" w:line="240" w:lineRule="auto"/>
    </w:pPr>
    <w:rPr>
      <w:rFonts w:ascii="Calibri" w:eastAsia="Times New Roman" w:hAnsi="Calibri" w:cs="Times New Roman"/>
      <w:b/>
      <w:sz w:val="20"/>
      <w:szCs w:val="24"/>
    </w:rPr>
  </w:style>
  <w:style w:type="character" w:customStyle="1" w:styleId="TableText10NumberChar">
    <w:name w:val="Table Text 10 Number Char"/>
    <w:basedOn w:val="DefaultParagraphFont"/>
    <w:link w:val="TableText10Number"/>
    <w:uiPriority w:val="99"/>
    <w:locked/>
    <w:rsid w:val="003B09BE"/>
    <w:rPr>
      <w:rFonts w:ascii="Calibri" w:eastAsia="Times New Roman" w:hAnsi="Calibri" w:cs="Times New Roman"/>
      <w:b/>
      <w:sz w:val="20"/>
      <w:szCs w:val="24"/>
    </w:rPr>
  </w:style>
  <w:style w:type="character" w:customStyle="1" w:styleId="ListParagraphChar">
    <w:name w:val="List Paragraph Char"/>
    <w:aliases w:val="Bulleted List Level 1 Char"/>
    <w:basedOn w:val="DefaultParagraphFont"/>
    <w:link w:val="ListParagraph"/>
    <w:uiPriority w:val="34"/>
    <w:locked/>
    <w:rsid w:val="003B09BE"/>
    <w:rPr>
      <w:rFonts w:ascii="Arial" w:eastAsiaTheme="minorEastAsia" w:hAnsi="Arial"/>
      <w:szCs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3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CBC"/>
  </w:style>
  <w:style w:type="paragraph" w:styleId="Footer">
    <w:name w:val="footer"/>
    <w:basedOn w:val="Normal"/>
    <w:link w:val="FooterChar"/>
    <w:uiPriority w:val="99"/>
    <w:unhideWhenUsed/>
    <w:rsid w:val="001E3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CBC"/>
  </w:style>
  <w:style w:type="character" w:styleId="FollowedHyperlink">
    <w:name w:val="FollowedHyperlink"/>
    <w:basedOn w:val="DefaultParagraphFont"/>
    <w:uiPriority w:val="99"/>
    <w:semiHidden/>
    <w:unhideWhenUsed/>
    <w:rsid w:val="00F02807"/>
    <w:rPr>
      <w:color w:val="954F72" w:themeColor="followedHyperlink"/>
      <w:u w:val="single"/>
    </w:rPr>
  </w:style>
  <w:style w:type="paragraph" w:customStyle="1" w:styleId="Default">
    <w:name w:val="Default"/>
    <w:rsid w:val="00F02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7259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7259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2BD"/>
    <w:pPr>
      <w:spacing w:before="0" w:after="160"/>
      <w:ind w:left="0"/>
    </w:pPr>
    <w:rPr>
      <w:rFonts w:asciiTheme="minorHAnsi" w:eastAsiaTheme="minorHAnsi" w:hAnsi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2BD"/>
    <w:rPr>
      <w:rFonts w:ascii="Arial" w:eastAsiaTheme="minorEastAsia" w:hAnsi="Arial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ms.gov/Medicare/Quality-Initiatives-Patient-Assessment-Instruments/HomeHealthQualityInits/OASIS-Data-Sets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ms.gov/Medicare/Quality-Initiatives-Patient-Assessment-Instruments/NursingHomeQualityInits/NHQIMDS30TechnicalInformation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it.gov/isa/sites/default/files/2018%20ISA%20Reference%20Edition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ms.gov/Medicare/Quality-Initiatives-Patient-Assessment-Instruments/LTCH-Quality-Reporting/LTCH-CARE-Data-Set-and-LTCH-QRP-Manual.html" TargetMode="External"/><Relationship Id="rId10" Type="http://schemas.openxmlformats.org/officeDocument/2006/relationships/hyperlink" Target="https://www.healthit.gov/isa/sites/default/files/2018%20ISA%20Reference%20Edition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ms.gov/Medicare/Medicare-Fee-for-Service-Payment/InpatientRehabFacPPS/IRFPA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9A212EF132949A79D6151306ED527" ma:contentTypeVersion="4" ma:contentTypeDescription="Create a new document." ma:contentTypeScope="" ma:versionID="546e1d1cce8160b71cb2c69f3659faf8">
  <xsd:schema xmlns:xsd="http://www.w3.org/2001/XMLSchema" xmlns:xs="http://www.w3.org/2001/XMLSchema" xmlns:p="http://schemas.microsoft.com/office/2006/metadata/properties" xmlns:ns2="http://schemas.microsoft.com/sharepoint/v3/fields" xmlns:ns3="ef8983cf-4a4c-4b5b-b9f6-3fc8ccdbc294" xmlns:ns4="4d4c24bf-f5e3-4775-9673-33a3fc135784" targetNamespace="http://schemas.microsoft.com/office/2006/metadata/properties" ma:root="true" ma:fieldsID="638549d008f38fb93187610776f81207" ns2:_="" ns3:_="" ns4:_="">
    <xsd:import namespace="http://schemas.microsoft.com/sharepoint/v3/fields"/>
    <xsd:import namespace="ef8983cf-4a4c-4b5b-b9f6-3fc8ccdbc294"/>
    <xsd:import namespace="4d4c24bf-f5e3-4775-9673-33a3fc135784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2:_DCDateCreated" minOccurs="0"/>
                <xsd:element ref="ns2:_DCDateModified" minOccurs="0"/>
                <xsd:element ref="ns3:TaxKeywordTaxHTField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983cf-4a4c-4b5b-b9f6-3fc8ccdbc29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81c8d884-b9d6-4270-bb74-2ecbd22f126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f3ebee7-5eca-4516-9b9c-38202ccff9ef}" ma:internalName="TaxCatchAll" ma:showField="CatchAllData" ma:web="ef8983cf-4a4c-4b5b-b9f6-3fc8ccdbc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0f3ebee7-5eca-4516-9b9c-38202ccff9ef}" ma:internalName="TaxCatchAllLabel" ma:readOnly="true" ma:showField="CatchAllDataLabel" ma:web="ef8983cf-4a4c-4b5b-b9f6-3fc8ccdbc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c24bf-f5e3-4775-9673-33a3fc135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8983cf-4a4c-4b5b-b9f6-3fc8ccdbc294"/>
    <_DCDateModified xmlns="http://schemas.microsoft.com/sharepoint/v3/fields">2018-07-25T04:00:00+00:00</_DCDateModified>
    <_Contributor xmlns="http://schemas.microsoft.com/sharepoint/v3/fields" xsi:nil="true"/>
    <TaxKeywordTaxHTField xmlns="ef8983cf-4a4c-4b5b-b9f6-3fc8ccdbc294">
      <Terms xmlns="http://schemas.microsoft.com/office/infopath/2007/PartnerControls"/>
    </TaxKeywordTaxHTField>
    <_DCDateCreated xmlns="http://schemas.microsoft.com/sharepoint/v3/fields">2018-07-19T05:00:00+00:00</_DCDateCreat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7AEF5-0637-41AC-9A23-F01E4BACE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f8983cf-4a4c-4b5b-b9f6-3fc8ccdbc294"/>
    <ds:schemaRef ds:uri="4d4c24bf-f5e3-4775-9673-33a3fc135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267F7-CADF-4A1B-AD8D-46015E2D44F7}">
  <ds:schemaRefs>
    <ds:schemaRef ds:uri="http://schemas.microsoft.com/office/2006/documentManagement/types"/>
    <ds:schemaRef ds:uri="http://purl.org/dc/terms/"/>
    <ds:schemaRef ds:uri="http://schemas.microsoft.com/sharepoint/v3/field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4d4c24bf-f5e3-4775-9673-33a3fc135784"/>
    <ds:schemaRef ds:uri="ef8983cf-4a4c-4b5b-b9f6-3fc8ccdbc294"/>
  </ds:schemaRefs>
</ds:datastoreItem>
</file>

<file path=customXml/itemProps3.xml><?xml version="1.0" encoding="utf-8"?>
<ds:datastoreItem xmlns:ds="http://schemas.openxmlformats.org/officeDocument/2006/customXml" ds:itemID="{A1FBF0AC-1ADA-4A08-AA4B-54A2DF07D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Dougherty, Michelle</dc:creator>
  <cp:keywords/>
  <dc:description/>
  <cp:lastModifiedBy>Rachel Lopez</cp:lastModifiedBy>
  <cp:revision>2</cp:revision>
  <dcterms:created xsi:type="dcterms:W3CDTF">2018-08-28T17:41:00Z</dcterms:created>
  <dcterms:modified xsi:type="dcterms:W3CDTF">2018-08-28T17:41:00Z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0x0101002AA9A212EF132949A79D6151306ED527</vt:lpwstr>
  </property>
  <property fmtid="{D5CDD505-2E9C-101B-9397-08002B2CF9AE}" pid="3" name="TaxKeyword">
    <vt:lpwstr/>
  </property>
</Properties>
</file>