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65" w:rsidRDefault="00CA7E31" w:rsidP="00232006">
      <w:pPr>
        <w:contextualSpacing w:val="0"/>
      </w:pPr>
      <w:bookmarkStart w:id="0" w:name="_GoBack"/>
      <w:bookmarkEnd w:id="0"/>
      <w:r>
        <w:rPr>
          <w:b/>
          <w:sz w:val="36"/>
          <w:szCs w:val="36"/>
        </w:rPr>
        <w:t xml:space="preserve">ISA Sept/Oct 2018 Comments </w:t>
      </w:r>
    </w:p>
    <w:p w:rsidR="00D61965" w:rsidRDefault="00D61965">
      <w:pPr>
        <w:contextualSpacing w:val="0"/>
      </w:pPr>
    </w:p>
    <w:p w:rsidR="00D61965" w:rsidRDefault="00D61965">
      <w:pPr>
        <w:contextualSpacing w:val="0"/>
      </w:pPr>
    </w:p>
    <w:p w:rsidR="00D61965" w:rsidRDefault="00CA7E31">
      <w:pPr>
        <w:contextualSpacing w:val="0"/>
        <w:rPr>
          <w:b/>
          <w:sz w:val="28"/>
          <w:szCs w:val="28"/>
        </w:rPr>
      </w:pPr>
      <w:r>
        <w:rPr>
          <w:b/>
          <w:sz w:val="28"/>
          <w:szCs w:val="28"/>
        </w:rPr>
        <w:t>Sections to review and assess for comments, with assignments:</w:t>
      </w:r>
    </w:p>
    <w:p w:rsidR="00D61965" w:rsidRDefault="00CA7E31">
      <w:pPr>
        <w:contextualSpacing w:val="0"/>
      </w:pPr>
      <w:r>
        <w:t>---------------------</w:t>
      </w:r>
    </w:p>
    <w:p w:rsidR="00CA7E31" w:rsidRDefault="00CA7E31">
      <w:pPr>
        <w:contextualSpacing w:val="0"/>
      </w:pPr>
      <w:r>
        <w:t xml:space="preserve">Section:  I-A: Allergies and Intolerances: </w:t>
      </w:r>
    </w:p>
    <w:p w:rsidR="00D61965" w:rsidRDefault="00CA7E31">
      <w:pPr>
        <w:contextualSpacing w:val="0"/>
      </w:pPr>
      <w:r>
        <w:t>Interoperability Need: Representing Patient Allergies and Intolerances; Food Substances</w:t>
      </w:r>
    </w:p>
    <w:p w:rsidR="00D61965" w:rsidRDefault="00D61965">
      <w:pPr>
        <w:contextualSpacing w:val="0"/>
      </w:pPr>
    </w:p>
    <w:p w:rsidR="00D61965" w:rsidRDefault="00CA7E31">
      <w:pPr>
        <w:contextualSpacing w:val="0"/>
        <w:rPr>
          <w:b/>
        </w:rPr>
      </w:pPr>
      <w:r>
        <w:rPr>
          <w:b/>
        </w:rPr>
        <w:t>Comments from Della Dunbar, ISC member, Sept 21, 2018:</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The existing list is a good start but could be more comprehensive. Recommend to use the </w:t>
      </w:r>
      <w:r>
        <w:t>Food Allergen list (“Common dietary substances for allergy and intolerance documentation”) from VSAC with OID of 2.16.840.1.113762.1.4.1186.3. This list has been approved by the HL7 Patient Care Work Group in coordination with the Academy of Nutrition and Dietetics Interoperability and Standards Committee.</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Gastrointestinal Food Allergy – not sure what this is.  It is not defined.  I think there can be Gastrointestinal symptoms related to a food allergy but this isn’t the allergy</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Pollen Food Allergy – no foods associated with this.  For some people there is cross-reactivity between a pollen allergy and food they eat i.e., pears, peach, apple.  This is better stated as an allergy to the food item vs. pollen</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Allergy to Meat – only has Red Meat and Chicken Meat.  Needs to list all meats.  Not sure if can eat some red meats and not others i.e., allergic to Pork but can eat Beef or Lamb.  Also, should list Turkey.  </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lastRenderedPageBreak/>
        <w:t>Tryptophan Allergy – this is an essential amino acid so is potentially in all foods.  Not sure how this would be interpreted and how you would know foods to avoid.</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Seafood Allergy – has subset of fish and shellfish.  HL7 committee recommended splitting shellfish into mollusks and crustaceans</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Glycine Allergy – this is an amino acid.  It is not an essential amino acid, and the body can make it.  Not sure how this is interpreted and how you would know foods to avoid.</w:t>
      </w:r>
    </w:p>
    <w:p w:rsidR="00D61965" w:rsidRDefault="00CA7E31">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Arachis oil Allergy – this is related to peanut oil as peanut oil is extracted from one or more varieties of </w:t>
      </w:r>
      <w:r>
        <w:rPr>
          <w:rFonts w:ascii="Calibri" w:eastAsia="Calibri" w:hAnsi="Calibri" w:cs="Calibri"/>
          <w:i/>
          <w:sz w:val="24"/>
          <w:szCs w:val="24"/>
        </w:rPr>
        <w:t>Arachis hypogaea (</w:t>
      </w:r>
      <w:r>
        <w:rPr>
          <w:rFonts w:ascii="Calibri" w:eastAsia="Calibri" w:hAnsi="Calibri" w:cs="Calibri"/>
          <w:sz w:val="24"/>
          <w:szCs w:val="24"/>
        </w:rPr>
        <w:t>family Leguminosae).  Arachis oil is primarily used in ear wax softeners, enemas and skin medications.  I wouldn’t classify as a food allergy since the peanut allergy is already listed.</w:t>
      </w:r>
    </w:p>
    <w:p w:rsidR="00D61965" w:rsidRDefault="00D61965">
      <w:pPr>
        <w:spacing w:line="259" w:lineRule="auto"/>
        <w:ind w:left="720"/>
        <w:contextualSpacing w:val="0"/>
        <w:rPr>
          <w:rFonts w:ascii="Calibri" w:eastAsia="Calibri" w:hAnsi="Calibri" w:cs="Calibri"/>
          <w:sz w:val="24"/>
          <w:szCs w:val="24"/>
        </w:rPr>
      </w:pPr>
    </w:p>
    <w:p w:rsidR="00EC738A" w:rsidRDefault="00CA7E31">
      <w:pPr>
        <w:contextualSpacing w:val="0"/>
      </w:pPr>
      <w:r>
        <w:t>------------------------</w:t>
      </w:r>
    </w:p>
    <w:p w:rsidR="00EC738A" w:rsidRDefault="00EC738A" w:rsidP="00EC738A">
      <w:pPr>
        <w:pStyle w:val="Heading1"/>
        <w:pBdr>
          <w:bottom w:val="single" w:sz="6" w:space="3" w:color="FFC425"/>
        </w:pBdr>
        <w:shd w:val="clear" w:color="auto" w:fill="FFFFFF"/>
        <w:spacing w:before="0" w:after="180"/>
        <w:rPr>
          <w:color w:val="1D4F90"/>
          <w:sz w:val="30"/>
          <w:szCs w:val="30"/>
        </w:rPr>
      </w:pPr>
      <w:r>
        <w:t xml:space="preserve">Section II: </w:t>
      </w:r>
      <w:r>
        <w:rPr>
          <w:rStyle w:val="field"/>
          <w:color w:val="1D4F90"/>
          <w:sz w:val="30"/>
          <w:szCs w:val="30"/>
        </w:rPr>
        <w:t>Content/Structure Standards and Implementation Specifications</w:t>
      </w:r>
    </w:p>
    <w:p w:rsidR="00EC738A" w:rsidRDefault="00EC738A" w:rsidP="00EC738A">
      <w:pPr>
        <w:contextualSpacing w:val="0"/>
      </w:pPr>
      <w:r>
        <w:t xml:space="preserve">Care Plans </w:t>
      </w:r>
    </w:p>
    <w:p w:rsidR="00EC738A" w:rsidRDefault="00EC738A" w:rsidP="00EC738A">
      <w:pPr>
        <w:contextualSpacing w:val="0"/>
      </w:pPr>
      <w:r>
        <w:t xml:space="preserve">The Academy of Nutrition and Dietetics </w:t>
      </w:r>
      <w:r>
        <w:rPr>
          <w:color w:val="000000"/>
          <w:sz w:val="20"/>
          <w:szCs w:val="20"/>
          <w:shd w:val="clear" w:color="auto" w:fill="FFFFFF"/>
        </w:rPr>
        <w:t>supports the balloted draft IHE Dynamic Care Team Management (DCTM), Rev. 1.2 Trial Implementation, particularly the newer FHIR components that have been updated.  We see excellent opportunity to use the FHIR Care Team Subscription model to keep distributed, community-based care team members informed about updates to care plan and goals for a patient.  At the HIMSS 2018 Interoperability Showcase, the Academy demonstrated use of a simple FHIR subscription to receive</w:t>
      </w:r>
      <w:r w:rsidR="00EC1333">
        <w:rPr>
          <w:color w:val="000000"/>
          <w:sz w:val="20"/>
          <w:szCs w:val="20"/>
          <w:shd w:val="clear" w:color="auto" w:fill="FFFFFF"/>
        </w:rPr>
        <w:t xml:space="preserve"> automatic </w:t>
      </w:r>
      <w:r>
        <w:rPr>
          <w:color w:val="000000"/>
          <w:sz w:val="20"/>
          <w:szCs w:val="20"/>
          <w:shd w:val="clear" w:color="auto" w:fill="FFFFFF"/>
        </w:rPr>
        <w:t xml:space="preserve">notification of </w:t>
      </w:r>
      <w:r w:rsidR="00EC1333">
        <w:rPr>
          <w:color w:val="000000"/>
          <w:sz w:val="20"/>
          <w:szCs w:val="20"/>
          <w:shd w:val="clear" w:color="auto" w:fill="FFFFFF"/>
        </w:rPr>
        <w:t>a nutrition referral from a primary care provider directly into a dietitian’s clinical workflow.</w:t>
      </w:r>
    </w:p>
    <w:p w:rsidR="008411DF" w:rsidRDefault="008411DF"/>
    <w:p w:rsidR="008411DF" w:rsidRDefault="008411DF" w:rsidP="008411DF">
      <w:pPr>
        <w:pStyle w:val="Heading1"/>
        <w:pBdr>
          <w:bottom w:val="single" w:sz="6" w:space="3" w:color="FFC425"/>
        </w:pBdr>
        <w:shd w:val="clear" w:color="auto" w:fill="FFFFFF"/>
        <w:spacing w:before="0" w:after="180"/>
        <w:rPr>
          <w:color w:val="1D4F90"/>
          <w:sz w:val="30"/>
          <w:szCs w:val="30"/>
        </w:rPr>
      </w:pPr>
      <w:r>
        <w:rPr>
          <w:rStyle w:val="field"/>
          <w:color w:val="1D4F90"/>
          <w:sz w:val="30"/>
          <w:szCs w:val="30"/>
        </w:rPr>
        <w:lastRenderedPageBreak/>
        <w:t>Sharing Patient Care Plans for Multiple Clinical Contexts</w:t>
      </w:r>
    </w:p>
    <w:p w:rsidR="00EC738A" w:rsidRDefault="008411DF">
      <w:r>
        <w:t xml:space="preserve">The Academy of Nutrition and Dietetics </w:t>
      </w:r>
      <w:r>
        <w:rPr>
          <w:color w:val="000000"/>
          <w:sz w:val="20"/>
          <w:szCs w:val="20"/>
          <w:shd w:val="clear" w:color="auto" w:fill="FFFFFF"/>
        </w:rPr>
        <w:t xml:space="preserve">supports the balloted draft IHE Dynamic Care Team Management (DCTM), Rev. 1.2 Trial Implementation, particularly the newer FHIR components that have been updated. We encourage ONC to support the ability of authenticated FHIR-based apps to be able to “create/write” resources such as FHIR-CarePlan and Goals, not just query for this information.  This will better enable care coordination of complex patients across a distributed care team in multiple care settings.   </w:t>
      </w:r>
      <w:r w:rsidR="00EC738A">
        <w:br w:type="page"/>
      </w:r>
    </w:p>
    <w:p w:rsidR="00EC738A" w:rsidRDefault="00EC738A" w:rsidP="00EC738A">
      <w:pPr>
        <w:contextualSpacing w:val="0"/>
      </w:pPr>
      <w:r>
        <w:lastRenderedPageBreak/>
        <w:t>------------------------</w:t>
      </w:r>
    </w:p>
    <w:p w:rsidR="00D61965" w:rsidRDefault="00D61965">
      <w:pPr>
        <w:contextualSpacing w:val="0"/>
      </w:pPr>
    </w:p>
    <w:p w:rsidR="00D61965" w:rsidRDefault="00CA7E31">
      <w:pPr>
        <w:contextualSpacing w:val="0"/>
        <w:rPr>
          <w:b/>
        </w:rPr>
      </w:pPr>
      <w:r>
        <w:t xml:space="preserve">Section:  II-F: Diet and Nutrition: </w:t>
      </w:r>
    </w:p>
    <w:p w:rsidR="00D61965" w:rsidRDefault="00CA7E31">
      <w:pPr>
        <w:contextualSpacing w:val="0"/>
      </w:pPr>
      <w:r>
        <w:t xml:space="preserve">Interoperability Need: Exchanging Diet and Nutrition Orders Across the Continuum of Care </w:t>
      </w:r>
    </w:p>
    <w:p w:rsidR="00D61965" w:rsidRDefault="00D61965">
      <w:pPr>
        <w:contextualSpacing w:val="0"/>
      </w:pPr>
    </w:p>
    <w:p w:rsidR="00D61965" w:rsidRDefault="00CA7E31">
      <w:pPr>
        <w:contextualSpacing w:val="0"/>
        <w:rPr>
          <w:b/>
        </w:rPr>
      </w:pPr>
      <w:r>
        <w:rPr>
          <w:b/>
        </w:rPr>
        <w:t xml:space="preserve">Comments from Ben Atkinson, ISC Chair, Sept 29, 2018: </w:t>
      </w:r>
    </w:p>
    <w:p w:rsidR="00D61965" w:rsidRDefault="00CA7E31">
      <w:pPr>
        <w:contextualSpacing w:val="0"/>
      </w:pPr>
      <w:r>
        <w:t>For the AllergyIntolerance FHIR resource within the FHIR NutritionOrder resource, consider utilizing the Food Allergen list (“Common dietary substances for allergy and intolerance documentation”) from VSAC with OID of 2.16.840.1.113762.1.4.1186.3. This list has been approved by the HL7 Patient Care Work Group in coordination with the Academy of Nutrition and Dietetics Interoperability and Standards Committee.</w:t>
      </w:r>
    </w:p>
    <w:p w:rsidR="00F970FF" w:rsidRDefault="00F970FF">
      <w:pPr>
        <w:contextualSpacing w:val="0"/>
      </w:pPr>
    </w:p>
    <w:p w:rsidR="009E0447" w:rsidRDefault="009E0447">
      <w:pPr>
        <w:contextualSpacing w:val="0"/>
        <w:rPr>
          <w:b/>
        </w:rPr>
      </w:pPr>
      <w:r>
        <w:rPr>
          <w:b/>
        </w:rPr>
        <w:t>Mdittl</w:t>
      </w:r>
      <w:r w:rsidRPr="009E0447">
        <w:rPr>
          <w:b/>
        </w:rPr>
        <w:t>off</w:t>
      </w:r>
    </w:p>
    <w:p w:rsidR="00EB75B1" w:rsidRDefault="00EB75B1" w:rsidP="00EB75B1">
      <w:pPr>
        <w:pStyle w:val="NormalWeb"/>
        <w:numPr>
          <w:ilvl w:val="0"/>
          <w:numId w:val="3"/>
        </w:numPr>
        <w:spacing w:before="0" w:beforeAutospacing="0" w:after="180" w:afterAutospacing="0" w:line="360" w:lineRule="atLeast"/>
        <w:ind w:left="480"/>
        <w:rPr>
          <w:rFonts w:ascii="Arial" w:hAnsi="Arial" w:cs="Arial"/>
          <w:color w:val="000000"/>
          <w:sz w:val="20"/>
          <w:szCs w:val="20"/>
        </w:rPr>
      </w:pPr>
      <w:r>
        <w:rPr>
          <w:rFonts w:ascii="Arial" w:hAnsi="Arial" w:cs="Arial"/>
          <w:color w:val="000000"/>
          <w:sz w:val="20"/>
          <w:szCs w:val="20"/>
        </w:rPr>
        <w:t>In addition to the specifications listed above, work is underway to create a HL7 CDA R2 Implementation Guide: C-CDA R2.1 Supplemental Templates for Nutrition, Release 1 (US Realm), with balloting likely in January 2018. </w:t>
      </w:r>
    </w:p>
    <w:p w:rsidR="009E0447" w:rsidRDefault="009E0447">
      <w:pPr>
        <w:contextualSpacing w:val="0"/>
        <w:rPr>
          <w:b/>
        </w:rPr>
      </w:pPr>
    </w:p>
    <w:p w:rsidR="009E0447" w:rsidRDefault="009E0447">
      <w:pPr>
        <w:contextualSpacing w:val="0"/>
        <w:rPr>
          <w:color w:val="000000"/>
          <w:sz w:val="20"/>
          <w:szCs w:val="20"/>
        </w:rPr>
      </w:pPr>
      <w:r>
        <w:t xml:space="preserve">Changing nutrition behavior is a critical component </w:t>
      </w:r>
      <w:r w:rsidR="00C45046">
        <w:t>of improving</w:t>
      </w:r>
      <w:r>
        <w:t xml:space="preserve"> care for patients with chronic diseases including obesity, hypertension and cardiovascular disease, chronic kidney </w:t>
      </w:r>
      <w:r w:rsidR="00C45046">
        <w:t xml:space="preserve">disease among others. </w:t>
      </w:r>
      <w:r>
        <w:t>Therefore, there is an ongoing interoperability need to support the exchange of clinical nutrition information and patient-generated data about eating plans and behaviors</w:t>
      </w:r>
      <w:r w:rsidR="00C45046">
        <w:t xml:space="preserve">. </w:t>
      </w:r>
      <w:r>
        <w:t>The diet and nutriti</w:t>
      </w:r>
      <w:r w:rsidR="00C45046">
        <w:t>on orders standards included</w:t>
      </w:r>
      <w:r>
        <w:t xml:space="preserve"> in the </w:t>
      </w:r>
      <w:r w:rsidR="007C75F5">
        <w:t>2018 ISA represent</w:t>
      </w:r>
      <w:r w:rsidR="00C45046">
        <w:t xml:space="preserve"> an important resource </w:t>
      </w:r>
      <w:r w:rsidR="007C75F5">
        <w:t>to support this exchange of nutrition data across care settings.  Over the p</w:t>
      </w:r>
      <w:r w:rsidR="00C45046">
        <w:t xml:space="preserve">ast year, work has progressed to provide additional information to implementers.  </w:t>
      </w:r>
      <w:r w:rsidR="007734AF">
        <w:t>Please</w:t>
      </w:r>
      <w:r w:rsidR="00545BDD">
        <w:t xml:space="preserve"> add the</w:t>
      </w:r>
      <w:r w:rsidR="00C45046">
        <w:t xml:space="preserve"> </w:t>
      </w:r>
      <w:r w:rsidR="007C75F5" w:rsidRPr="00C45046">
        <w:rPr>
          <w:b/>
          <w:color w:val="000000"/>
          <w:sz w:val="20"/>
          <w:szCs w:val="20"/>
        </w:rPr>
        <w:t>HL7 CDA R2 Implementation Guide: C-CDA R2.1 Supplemental Templates for Nutrition, Release 1</w:t>
      </w:r>
      <w:r w:rsidR="007C75F5">
        <w:rPr>
          <w:color w:val="000000"/>
          <w:sz w:val="20"/>
          <w:szCs w:val="20"/>
        </w:rPr>
        <w:t xml:space="preserve"> (US </w:t>
      </w:r>
      <w:r w:rsidR="007C75F5">
        <w:rPr>
          <w:color w:val="000000"/>
          <w:sz w:val="20"/>
          <w:szCs w:val="20"/>
        </w:rPr>
        <w:lastRenderedPageBreak/>
        <w:t>Realm)</w:t>
      </w:r>
      <w:r w:rsidR="00545BDD">
        <w:rPr>
          <w:color w:val="000000"/>
          <w:sz w:val="20"/>
          <w:szCs w:val="20"/>
        </w:rPr>
        <w:t xml:space="preserve"> to the Implementation Specification option for this category. </w:t>
      </w:r>
      <w:r w:rsidR="007734AF">
        <w:rPr>
          <w:color w:val="000000"/>
          <w:sz w:val="20"/>
          <w:szCs w:val="20"/>
        </w:rPr>
        <w:t xml:space="preserve"> This IG</w:t>
      </w:r>
      <w:r w:rsidR="007C75F5">
        <w:rPr>
          <w:color w:val="000000"/>
          <w:sz w:val="20"/>
          <w:szCs w:val="20"/>
        </w:rPr>
        <w:t xml:space="preserve"> </w:t>
      </w:r>
      <w:r w:rsidR="00C45046">
        <w:rPr>
          <w:color w:val="000000"/>
          <w:sz w:val="20"/>
          <w:szCs w:val="20"/>
        </w:rPr>
        <w:t xml:space="preserve">successfully passed HL7 </w:t>
      </w:r>
      <w:r w:rsidR="007C75F5">
        <w:rPr>
          <w:color w:val="000000"/>
          <w:sz w:val="20"/>
          <w:szCs w:val="20"/>
        </w:rPr>
        <w:t>bal</w:t>
      </w:r>
      <w:r w:rsidR="00C45046">
        <w:rPr>
          <w:color w:val="000000"/>
          <w:sz w:val="20"/>
          <w:szCs w:val="20"/>
        </w:rPr>
        <w:t xml:space="preserve">lot in January 2018 and is now available as a Standard for Trial Use - </w:t>
      </w:r>
      <w:hyperlink r:id="rId5" w:history="1">
        <w:r w:rsidR="00C45046" w:rsidRPr="0083495B">
          <w:rPr>
            <w:rStyle w:val="Hyperlink"/>
            <w:sz w:val="20"/>
            <w:szCs w:val="20"/>
          </w:rPr>
          <w:t>http://www.hl7.org/implement/standards/product_brief.cfm?product_id=478</w:t>
        </w:r>
      </w:hyperlink>
      <w:r w:rsidR="00C45046">
        <w:rPr>
          <w:color w:val="000000"/>
          <w:sz w:val="20"/>
          <w:szCs w:val="20"/>
        </w:rPr>
        <w:t xml:space="preserve">. These </w:t>
      </w:r>
      <w:r w:rsidR="00C45046">
        <w:rPr>
          <w:color w:val="5B5B5B"/>
          <w:sz w:val="21"/>
          <w:szCs w:val="21"/>
          <w:shd w:val="clear" w:color="auto" w:fill="FFFFFF"/>
        </w:rPr>
        <w:t xml:space="preserve">templates allow vendors to </w:t>
      </w:r>
      <w:r w:rsidR="00EB75B1">
        <w:rPr>
          <w:color w:val="5B5B5B"/>
          <w:sz w:val="21"/>
          <w:szCs w:val="21"/>
          <w:shd w:val="clear" w:color="auto" w:fill="FFFFFF"/>
        </w:rPr>
        <w:t>include the components of the Nutrition Care Process--</w:t>
      </w:r>
      <w:r w:rsidR="00EB75B1" w:rsidRPr="00EB75B1">
        <w:rPr>
          <w:color w:val="5B5B5B"/>
          <w:sz w:val="21"/>
          <w:szCs w:val="21"/>
          <w:shd w:val="clear" w:color="auto" w:fill="FFFFFF"/>
        </w:rPr>
        <w:t xml:space="preserve"> </w:t>
      </w:r>
      <w:r w:rsidR="00EB75B1">
        <w:rPr>
          <w:color w:val="5B5B5B"/>
          <w:sz w:val="21"/>
          <w:szCs w:val="21"/>
          <w:shd w:val="clear" w:color="auto" w:fill="FFFFFF"/>
        </w:rPr>
        <w:t xml:space="preserve">Nutrition Assessment and Reassessment, Nutrition Diagnosis, Nutrition Intervention, and Nutrition Monitoring and Evaluation documented in EHRs and other applications used by Registered Dietitian Nutritionists.  The IG provided guidance </w:t>
      </w:r>
      <w:r w:rsidR="00C45046">
        <w:rPr>
          <w:color w:val="5B5B5B"/>
          <w:sz w:val="21"/>
          <w:szCs w:val="21"/>
          <w:shd w:val="clear" w:color="auto" w:fill="FFFFFF"/>
        </w:rPr>
        <w:t>intended to promote nutrition interoperability across care settings and will create information suitable for reuse in transitions of care, quality measurement, public health reporting, research, and reimbursement.</w:t>
      </w:r>
    </w:p>
    <w:p w:rsidR="00C45046" w:rsidRDefault="00C45046">
      <w:pPr>
        <w:contextualSpacing w:val="0"/>
      </w:pPr>
    </w:p>
    <w:p w:rsidR="007C75F5" w:rsidRDefault="007C75F5" w:rsidP="007C75F5">
      <w:pPr>
        <w:pStyle w:val="NormalWeb"/>
        <w:numPr>
          <w:ilvl w:val="0"/>
          <w:numId w:val="3"/>
        </w:numPr>
        <w:spacing w:before="0" w:beforeAutospacing="0" w:after="180" w:afterAutospacing="0" w:line="360" w:lineRule="atLeast"/>
        <w:ind w:left="480"/>
        <w:rPr>
          <w:rFonts w:ascii="Arial" w:hAnsi="Arial" w:cs="Arial"/>
          <w:color w:val="000000"/>
          <w:sz w:val="20"/>
          <w:szCs w:val="20"/>
        </w:rPr>
      </w:pPr>
      <w:r>
        <w:rPr>
          <w:rFonts w:ascii="Arial" w:hAnsi="Arial" w:cs="Arial"/>
          <w:color w:val="000000"/>
          <w:sz w:val="20"/>
          <w:szCs w:val="20"/>
        </w:rPr>
        <w:t>FHIR Resources are in various stages of maturity. Please refer to the FHIR website for updates on specific profiles and their progress. The FHIR Maturity Model and each of the levels is described on the </w:t>
      </w:r>
      <w:hyperlink r:id="rId6" w:tgtFrame="_blank" w:history="1">
        <w:r>
          <w:rPr>
            <w:rStyle w:val="Hyperlink"/>
            <w:rFonts w:ascii="Arial" w:hAnsi="Arial" w:cs="Arial"/>
            <w:color w:val="056DB1"/>
            <w:sz w:val="20"/>
            <w:szCs w:val="20"/>
          </w:rPr>
          <w:t>HL7 wiki</w:t>
        </w:r>
      </w:hyperlink>
      <w:hyperlink r:id="rId7" w:tooltip="Web Site Disclaimers" w:history="1">
        <w:r>
          <w:rPr>
            <w:rStyle w:val="hiddentext"/>
            <w:rFonts w:ascii="Arial" w:hAnsi="Arial" w:cs="Arial"/>
            <w:color w:val="056DB1"/>
            <w:sz w:val="20"/>
            <w:szCs w:val="20"/>
          </w:rPr>
          <w:t>Web Site Disclaimers</w:t>
        </w:r>
      </w:hyperlink>
      <w:r>
        <w:rPr>
          <w:rFonts w:ascii="Arial" w:hAnsi="Arial" w:cs="Arial"/>
          <w:color w:val="000000"/>
          <w:sz w:val="20"/>
          <w:szCs w:val="20"/>
        </w:rPr>
        <w:t>.</w:t>
      </w:r>
    </w:p>
    <w:p w:rsidR="009E0447" w:rsidRDefault="009E0447">
      <w:pPr>
        <w:contextualSpacing w:val="0"/>
      </w:pPr>
    </w:p>
    <w:p w:rsidR="0036521F" w:rsidRPr="009E0447" w:rsidRDefault="00DF4E06">
      <w:pPr>
        <w:contextualSpacing w:val="0"/>
        <w:rPr>
          <w:b/>
        </w:rPr>
      </w:pPr>
      <w:r>
        <w:t xml:space="preserve">The Academy of Nutrition and Dietetics is excited to see the number of </w:t>
      </w:r>
      <w:r w:rsidR="0036521F">
        <w:t>FHIR-based app</w:t>
      </w:r>
      <w:r w:rsidR="00EF077E">
        <w:t xml:space="preserve">s continue to grow and mature. </w:t>
      </w:r>
      <w:r w:rsidR="0036521F">
        <w:t>The Acad</w:t>
      </w:r>
      <w:r w:rsidR="00EF077E">
        <w:t>emy believes the adoption of the</w:t>
      </w:r>
      <w:r w:rsidR="0036521F">
        <w:t xml:space="preserve"> FHIR standa</w:t>
      </w:r>
      <w:r w:rsidR="003A781F">
        <w:t>rd</w:t>
      </w:r>
      <w:r w:rsidR="00EF077E">
        <w:t xml:space="preserve"> and uptake of resources including NutritionOrder and resources it references including AllergyIntolerance, ReferralRequest, Goal, Care</w:t>
      </w:r>
      <w:r w:rsidR="00B60CEC">
        <w:t>Plan</w:t>
      </w:r>
      <w:r>
        <w:t>,</w:t>
      </w:r>
      <w:r w:rsidR="00B60CEC">
        <w:t xml:space="preserve"> among others</w:t>
      </w:r>
      <w:r>
        <w:t>,</w:t>
      </w:r>
      <w:r w:rsidR="00B60CEC">
        <w:t xml:space="preserve"> </w:t>
      </w:r>
      <w:r w:rsidR="003A781F">
        <w:t xml:space="preserve">supports </w:t>
      </w:r>
      <w:r>
        <w:t>the</w:t>
      </w:r>
      <w:r w:rsidR="007734AF">
        <w:t xml:space="preserve"> </w:t>
      </w:r>
      <w:r w:rsidR="003A781F">
        <w:t>efforts to allow for</w:t>
      </w:r>
      <w:r w:rsidR="0036521F">
        <w:t xml:space="preserve"> the free flow of nutrition-related information among pro</w:t>
      </w:r>
      <w:r>
        <w:t>viders. To help advance the maturity of these standards, t</w:t>
      </w:r>
      <w:r w:rsidR="0036521F">
        <w:t>he Academy</w:t>
      </w:r>
      <w:r w:rsidR="003A781F">
        <w:t xml:space="preserve"> implemented a proof-of-concept</w:t>
      </w:r>
      <w:r w:rsidR="0036521F">
        <w:t xml:space="preserve"> project to </w:t>
      </w:r>
      <w:r>
        <w:t xml:space="preserve">FHIR-enable our </w:t>
      </w:r>
      <w:r w:rsidR="0036521F">
        <w:t>Dietetics Outcomes Registry data entry appli</w:t>
      </w:r>
      <w:r>
        <w:t xml:space="preserve">cation (ANDHII) and demonstrated this capability at the </w:t>
      </w:r>
      <w:r w:rsidR="0036521F">
        <w:t>HIMSS 2018 Interoperability Showcase use case on value based care, and again as part of the Interop</w:t>
      </w:r>
      <w:r w:rsidR="003A781F">
        <w:t>erability Showcase at the 2018 Public Health Informatics Conference.</w:t>
      </w:r>
    </w:p>
    <w:p w:rsidR="009E0447" w:rsidRDefault="009E0447">
      <w:pPr>
        <w:contextualSpacing w:val="0"/>
      </w:pPr>
    </w:p>
    <w:p w:rsidR="00F970FF" w:rsidRDefault="00F970FF">
      <w:pPr>
        <w:contextualSpacing w:val="0"/>
      </w:pPr>
    </w:p>
    <w:p w:rsidR="00D61965" w:rsidRDefault="00CA7E31">
      <w:pPr>
        <w:contextualSpacing w:val="0"/>
      </w:pPr>
      <w:r>
        <w:t>----------------------</w:t>
      </w:r>
    </w:p>
    <w:p w:rsidR="00D61965" w:rsidRDefault="00CA7E31">
      <w:pPr>
        <w:contextualSpacing w:val="0"/>
        <w:rPr>
          <w:b/>
        </w:rPr>
      </w:pPr>
      <w:r>
        <w:t xml:space="preserve">Section:  II-J: Healthy Weight: </w:t>
      </w:r>
    </w:p>
    <w:p w:rsidR="00D61965" w:rsidRDefault="00CA7E31">
      <w:pPr>
        <w:contextualSpacing w:val="0"/>
      </w:pPr>
      <w:r>
        <w:lastRenderedPageBreak/>
        <w:t>Interoperability Need: Sending Health Weight Information</w:t>
      </w:r>
    </w:p>
    <w:p w:rsidR="00D61965" w:rsidRDefault="00D61965">
      <w:pPr>
        <w:contextualSpacing w:val="0"/>
      </w:pPr>
    </w:p>
    <w:p w:rsidR="00D61965" w:rsidRDefault="00CA7E31">
      <w:pPr>
        <w:contextualSpacing w:val="0"/>
      </w:pPr>
      <w:r>
        <w:t>----------------------</w:t>
      </w:r>
    </w:p>
    <w:p w:rsidR="00CA7E31" w:rsidRDefault="00CA7E31">
      <w:pPr>
        <w:contextualSpacing w:val="0"/>
      </w:pPr>
      <w:r>
        <w:t xml:space="preserve">Section:  IV-B: Functional Profiles: </w:t>
      </w:r>
    </w:p>
    <w:p w:rsidR="00D61965" w:rsidRDefault="00CA7E31">
      <w:pPr>
        <w:contextualSpacing w:val="0"/>
      </w:pPr>
      <w:r>
        <w:t>Interoperability Need: Enable Interoperability for Nutrition Care</w:t>
      </w:r>
    </w:p>
    <w:p w:rsidR="00D61965" w:rsidRDefault="00D61965">
      <w:pPr>
        <w:contextualSpacing w:val="0"/>
      </w:pPr>
    </w:p>
    <w:p w:rsidR="00D61965" w:rsidRDefault="00CA7E31">
      <w:pPr>
        <w:contextualSpacing w:val="0"/>
      </w:pPr>
      <w:r>
        <w:rPr>
          <w:b/>
        </w:rPr>
        <w:t xml:space="preserve">Comments from Ben Atkinson, ISC Chair, Sept 29, 2018; and Amy Wootton, ISC Vice-Chair, Sept 30, 2018: </w:t>
      </w:r>
    </w:p>
    <w:p w:rsidR="00D61965" w:rsidRDefault="00CA7E31">
      <w:pPr>
        <w:contextualSpacing w:val="0"/>
      </w:pPr>
      <w:r>
        <w:t>Consider updating the listed standard to the revised standard on the September 2018 HL7 ballot: HL7 EHR-System Electronic Nutrition Care Process Record System (ENCPRS) Functional Profile, Release 2.</w:t>
      </w:r>
    </w:p>
    <w:p w:rsidR="00D61965" w:rsidRDefault="00D61965">
      <w:pPr>
        <w:contextualSpacing w:val="0"/>
      </w:pPr>
    </w:p>
    <w:p w:rsidR="00D61965" w:rsidRDefault="00CA7E31">
      <w:pPr>
        <w:contextualSpacing w:val="0"/>
      </w:pPr>
      <w:r>
        <w:t>-----------------------</w:t>
      </w:r>
    </w:p>
    <w:p w:rsidR="00CA7E31" w:rsidRDefault="00CA7E31">
      <w:pPr>
        <w:contextualSpacing w:val="0"/>
      </w:pPr>
      <w:r>
        <w:t xml:space="preserve">Section:  IV-C: Information Models: </w:t>
      </w:r>
    </w:p>
    <w:p w:rsidR="00D61965" w:rsidRDefault="00CA7E31">
      <w:pPr>
        <w:contextualSpacing w:val="0"/>
      </w:pPr>
      <w:r>
        <w:t>Interoperability Need: Information model for the interoperability of Diet and Nutrition Orders</w:t>
      </w:r>
    </w:p>
    <w:p w:rsidR="00D61965" w:rsidRDefault="00D61965">
      <w:pPr>
        <w:contextualSpacing w:val="0"/>
      </w:pPr>
    </w:p>
    <w:p w:rsidR="00D61965" w:rsidRDefault="00CA7E31">
      <w:pPr>
        <w:contextualSpacing w:val="0"/>
        <w:rPr>
          <w:b/>
        </w:rPr>
      </w:pPr>
      <w:r>
        <w:rPr>
          <w:b/>
        </w:rPr>
        <w:t>Comments from James Allain, ISC Member, Sept 30, 2018</w:t>
      </w:r>
    </w:p>
    <w:p w:rsidR="00D61965" w:rsidRDefault="00CA7E31">
      <w:pPr>
        <w:spacing w:line="240" w:lineRule="auto"/>
        <w:contextualSpacing w:val="0"/>
        <w:rPr>
          <w:rFonts w:ascii="Calibri" w:eastAsia="Calibri" w:hAnsi="Calibri" w:cs="Calibri"/>
          <w:b/>
          <w:sz w:val="20"/>
          <w:szCs w:val="20"/>
        </w:rPr>
      </w:pPr>
      <w:r>
        <w:rPr>
          <w:rFonts w:ascii="Calibri" w:eastAsia="Calibri" w:hAnsi="Calibri" w:cs="Calibri"/>
          <w:b/>
          <w:sz w:val="20"/>
          <w:szCs w:val="20"/>
        </w:rPr>
        <w:t>Limitations, Dependencies, and Preconditions for Consideration:</w:t>
      </w:r>
    </w:p>
    <w:p w:rsidR="00D61965" w:rsidRDefault="00CA7E31">
      <w:pPr>
        <w:numPr>
          <w:ilvl w:val="0"/>
          <w:numId w:val="2"/>
        </w:numPr>
        <w:spacing w:line="240" w:lineRule="auto"/>
        <w:rPr>
          <w:sz w:val="20"/>
          <w:szCs w:val="20"/>
        </w:rPr>
      </w:pPr>
      <w:r>
        <w:rPr>
          <w:rFonts w:ascii="Calibri" w:eastAsia="Calibri" w:hAnsi="Calibri" w:cs="Calibri"/>
          <w:sz w:val="20"/>
          <w:szCs w:val="20"/>
        </w:rPr>
        <w:t>There is no standard source for food and nutrient data in the United States, but there are countless resources for obtaining food and nutrient data. Thus, it can be very difficult to link food and food allergy information across systems.</w:t>
      </w:r>
    </w:p>
    <w:p w:rsidR="00D61965" w:rsidRDefault="00CA7E31">
      <w:pPr>
        <w:numPr>
          <w:ilvl w:val="0"/>
          <w:numId w:val="2"/>
        </w:numPr>
        <w:spacing w:line="240" w:lineRule="auto"/>
        <w:rPr>
          <w:sz w:val="20"/>
          <w:szCs w:val="20"/>
        </w:rPr>
      </w:pPr>
      <w:r>
        <w:rPr>
          <w:rFonts w:ascii="Calibri" w:eastAsia="Calibri" w:hAnsi="Calibri" w:cs="Calibri"/>
          <w:sz w:val="20"/>
          <w:szCs w:val="20"/>
        </w:rPr>
        <w:t>Multiple active oral diet orders are a common problem in healthcare facilities. Many existing implementations have protocols that call for an order progress. This is commonly ordered with a code "Advance as tolerated." This diet order is often seen for a patient recovering from surgery, treatment, or procedure. This practice is one we are seeking to eliminate as it is ambiguous.</w:t>
      </w:r>
    </w:p>
    <w:p w:rsidR="00D61965" w:rsidRDefault="00CA7E31">
      <w:pPr>
        <w:numPr>
          <w:ilvl w:val="0"/>
          <w:numId w:val="2"/>
        </w:numPr>
        <w:spacing w:line="240" w:lineRule="auto"/>
        <w:rPr>
          <w:sz w:val="20"/>
          <w:szCs w:val="20"/>
        </w:rPr>
      </w:pPr>
      <w:r>
        <w:rPr>
          <w:rFonts w:ascii="Calibri" w:eastAsia="Calibri" w:hAnsi="Calibri" w:cs="Calibri"/>
          <w:sz w:val="20"/>
          <w:szCs w:val="20"/>
        </w:rPr>
        <w:t>Food &amp; Nutrition Services require a diet order that complies with institutional regulations.</w:t>
      </w:r>
    </w:p>
    <w:p w:rsidR="00D61965" w:rsidRDefault="00D61965">
      <w:pPr>
        <w:spacing w:line="240" w:lineRule="auto"/>
        <w:contextualSpacing w:val="0"/>
        <w:rPr>
          <w:rFonts w:ascii="Calibri" w:eastAsia="Calibri" w:hAnsi="Calibri" w:cs="Calibri"/>
          <w:b/>
          <w:sz w:val="20"/>
          <w:szCs w:val="20"/>
        </w:rPr>
      </w:pPr>
      <w:bookmarkStart w:id="1" w:name="_gjdgxs" w:colFirst="0" w:colLast="0"/>
      <w:bookmarkEnd w:id="1"/>
    </w:p>
    <w:p w:rsidR="00D61965" w:rsidRDefault="00D61965">
      <w:pPr>
        <w:spacing w:line="240" w:lineRule="auto"/>
        <w:contextualSpacing w:val="0"/>
        <w:rPr>
          <w:rFonts w:ascii="Calibri" w:eastAsia="Calibri" w:hAnsi="Calibri" w:cs="Calibri"/>
          <w:b/>
          <w:sz w:val="20"/>
          <w:szCs w:val="20"/>
        </w:rPr>
      </w:pPr>
    </w:p>
    <w:p w:rsidR="00D61965" w:rsidRDefault="00CA7E31">
      <w:pPr>
        <w:spacing w:line="240" w:lineRule="auto"/>
        <w:contextualSpacing w:val="0"/>
        <w:rPr>
          <w:rFonts w:ascii="Calibri" w:eastAsia="Calibri" w:hAnsi="Calibri" w:cs="Calibri"/>
          <w:b/>
          <w:sz w:val="20"/>
          <w:szCs w:val="20"/>
        </w:rPr>
      </w:pPr>
      <w:r>
        <w:rPr>
          <w:rFonts w:ascii="Calibri" w:eastAsia="Calibri" w:hAnsi="Calibri" w:cs="Calibri"/>
          <w:b/>
          <w:sz w:val="20"/>
          <w:szCs w:val="20"/>
        </w:rPr>
        <w:t>Applicable Value Set(s) and Starter Set(s):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61965">
        <w:tc>
          <w:tcPr>
            <w:tcW w:w="4675" w:type="dxa"/>
          </w:tcPr>
          <w:p w:rsidR="00D61965" w:rsidRDefault="00CA7E31">
            <w:pPr>
              <w:spacing w:line="240" w:lineRule="auto"/>
              <w:contextualSpacing w:val="0"/>
              <w:rPr>
                <w:rFonts w:ascii="Bookman Old Style" w:eastAsia="Bookman Old Style" w:hAnsi="Bookman Old Style" w:cs="Bookman Old Style"/>
                <w:sz w:val="18"/>
                <w:szCs w:val="18"/>
              </w:rPr>
            </w:pPr>
            <w:r>
              <w:rPr>
                <w:rFonts w:ascii="Bookman Old Style" w:eastAsia="Bookman Old Style" w:hAnsi="Bookman Old Style" w:cs="Bookman Old Style"/>
                <w:b/>
                <w:sz w:val="18"/>
                <w:szCs w:val="18"/>
              </w:rPr>
              <w:t xml:space="preserve">Terminology </w:t>
            </w:r>
          </w:p>
        </w:tc>
        <w:tc>
          <w:tcPr>
            <w:tcW w:w="4675" w:type="dxa"/>
          </w:tcPr>
          <w:p w:rsidR="00D61965" w:rsidRDefault="00CA7E31">
            <w:pPr>
              <w:spacing w:line="240" w:lineRule="auto"/>
              <w:contextualSpacing w:val="0"/>
              <w:rPr>
                <w:rFonts w:ascii="Bookman Old Style" w:eastAsia="Bookman Old Style" w:hAnsi="Bookman Old Style" w:cs="Bookman Old Style"/>
                <w:sz w:val="18"/>
                <w:szCs w:val="18"/>
              </w:rPr>
            </w:pPr>
            <w:r>
              <w:rPr>
                <w:rFonts w:ascii="Bookman Old Style" w:eastAsia="Bookman Old Style" w:hAnsi="Bookman Old Style" w:cs="Bookman Old Style"/>
                <w:b/>
                <w:sz w:val="18"/>
                <w:szCs w:val="18"/>
              </w:rPr>
              <w:t xml:space="preserve">Owner/Contact </w:t>
            </w:r>
          </w:p>
        </w:tc>
      </w:tr>
      <w:tr w:rsidR="00D61965">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Current Procedures Terminology (CPT) code set </w:t>
            </w:r>
          </w:p>
        </w:tc>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American Medical Association http://www.ama-assn.org/ama/pub/physician-resources/solutions-managing-your-practice/coding-billing-insurance/cpt/cpt-products-services/licensing.page? </w:t>
            </w:r>
          </w:p>
        </w:tc>
      </w:tr>
      <w:tr w:rsidR="00D61965">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SNOMED CT </w:t>
            </w:r>
          </w:p>
        </w:tc>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International Healthcare Terminology Standards Developing Organization (IHTSDO) http://www.ihtsdo.org/snomed-ct/get-snomed-ct or info@ihtsdo.org </w:t>
            </w:r>
          </w:p>
        </w:tc>
      </w:tr>
      <w:tr w:rsidR="00D61965">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Logical Observation Identifiers Names &amp; Codes (LOINC) </w:t>
            </w:r>
          </w:p>
        </w:tc>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Regenstrief Institute </w:t>
            </w:r>
          </w:p>
        </w:tc>
      </w:tr>
      <w:tr w:rsidR="00D61965">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International Classification of Diseases (ICD) codes </w:t>
            </w:r>
          </w:p>
        </w:tc>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World Health Organization (WHO) </w:t>
            </w:r>
          </w:p>
        </w:tc>
      </w:tr>
      <w:tr w:rsidR="00D61965">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NUCC Health Care Provider Taxonomy code set </w:t>
            </w:r>
          </w:p>
        </w:tc>
        <w:tc>
          <w:tcPr>
            <w:tcW w:w="4675" w:type="dxa"/>
          </w:tcPr>
          <w:p w:rsidR="00D61965" w:rsidRDefault="00CA7E31">
            <w:pPr>
              <w:spacing w:line="240" w:lineRule="auto"/>
              <w:contextualSpacing w:val="0"/>
              <w:rPr>
                <w:rFonts w:ascii="Calibri" w:eastAsia="Calibri" w:hAnsi="Calibri" w:cs="Calibri"/>
                <w:sz w:val="20"/>
                <w:szCs w:val="20"/>
              </w:rPr>
            </w:pPr>
            <w:r>
              <w:rPr>
                <w:rFonts w:ascii="Calibri" w:eastAsia="Calibri" w:hAnsi="Calibri" w:cs="Calibri"/>
                <w:sz w:val="20"/>
                <w:szCs w:val="20"/>
              </w:rPr>
              <w:t xml:space="preserve">American Medical Association. Please see 222.nucc.org. AMA licensing contact: 312-464-5022 (AMA IP services) </w:t>
            </w:r>
          </w:p>
        </w:tc>
      </w:tr>
    </w:tbl>
    <w:p w:rsidR="00D61965" w:rsidRDefault="00D61965">
      <w:pPr>
        <w:spacing w:line="240" w:lineRule="auto"/>
        <w:contextualSpacing w:val="0"/>
        <w:rPr>
          <w:rFonts w:ascii="Calibri" w:eastAsia="Calibri" w:hAnsi="Calibri" w:cs="Calibri"/>
          <w:sz w:val="24"/>
          <w:szCs w:val="24"/>
        </w:rPr>
      </w:pPr>
    </w:p>
    <w:p w:rsidR="00D61965" w:rsidRDefault="00D61965">
      <w:pPr>
        <w:contextualSpacing w:val="0"/>
      </w:pPr>
    </w:p>
    <w:p w:rsidR="00D61965" w:rsidRDefault="00D61965">
      <w:pPr>
        <w:contextualSpacing w:val="0"/>
      </w:pPr>
    </w:p>
    <w:p w:rsidR="00D61965" w:rsidRDefault="00D61965">
      <w:pPr>
        <w:contextualSpacing w:val="0"/>
      </w:pPr>
    </w:p>
    <w:p w:rsidR="00D61965" w:rsidRDefault="00D61965">
      <w:pPr>
        <w:contextualSpacing w:val="0"/>
      </w:pPr>
    </w:p>
    <w:p w:rsidR="00D61965" w:rsidRDefault="00D61965">
      <w:pPr>
        <w:contextualSpacing w:val="0"/>
      </w:pPr>
    </w:p>
    <w:sectPr w:rsidR="00D619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86C56"/>
    <w:multiLevelType w:val="multilevel"/>
    <w:tmpl w:val="C060A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140C8F"/>
    <w:multiLevelType w:val="multilevel"/>
    <w:tmpl w:val="EA8CB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710F32"/>
    <w:multiLevelType w:val="multilevel"/>
    <w:tmpl w:val="639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65"/>
    <w:rsid w:val="00232006"/>
    <w:rsid w:val="0036521F"/>
    <w:rsid w:val="003A781F"/>
    <w:rsid w:val="00545BDD"/>
    <w:rsid w:val="007734AF"/>
    <w:rsid w:val="007C75F5"/>
    <w:rsid w:val="007D3905"/>
    <w:rsid w:val="008411DF"/>
    <w:rsid w:val="0092507F"/>
    <w:rsid w:val="009E0447"/>
    <w:rsid w:val="00B60CEC"/>
    <w:rsid w:val="00C45046"/>
    <w:rsid w:val="00CA40D8"/>
    <w:rsid w:val="00CA7E31"/>
    <w:rsid w:val="00D61965"/>
    <w:rsid w:val="00DF4E06"/>
    <w:rsid w:val="00EB75B1"/>
    <w:rsid w:val="00EC1333"/>
    <w:rsid w:val="00EC738A"/>
    <w:rsid w:val="00EF077E"/>
    <w:rsid w:val="00F9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57F2B-2392-4060-ABDB-492821C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7C75F5"/>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C75F5"/>
    <w:rPr>
      <w:color w:val="0000FF"/>
      <w:u w:val="single"/>
    </w:rPr>
  </w:style>
  <w:style w:type="character" w:customStyle="1" w:styleId="ext">
    <w:name w:val="ext"/>
    <w:basedOn w:val="DefaultParagraphFont"/>
    <w:rsid w:val="007C75F5"/>
  </w:style>
  <w:style w:type="character" w:customStyle="1" w:styleId="hiddentext">
    <w:name w:val="hiddentext"/>
    <w:basedOn w:val="DefaultParagraphFont"/>
    <w:rsid w:val="007C75F5"/>
  </w:style>
  <w:style w:type="character" w:customStyle="1" w:styleId="field">
    <w:name w:val="field"/>
    <w:basedOn w:val="DefaultParagraphFont"/>
    <w:rsid w:val="00EC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13542">
      <w:bodyDiv w:val="1"/>
      <w:marLeft w:val="0"/>
      <w:marRight w:val="0"/>
      <w:marTop w:val="0"/>
      <w:marBottom w:val="0"/>
      <w:divBdr>
        <w:top w:val="none" w:sz="0" w:space="0" w:color="auto"/>
        <w:left w:val="none" w:sz="0" w:space="0" w:color="auto"/>
        <w:bottom w:val="none" w:sz="0" w:space="0" w:color="auto"/>
        <w:right w:val="none" w:sz="0" w:space="0" w:color="auto"/>
      </w:divBdr>
    </w:div>
    <w:div w:id="1187713064">
      <w:bodyDiv w:val="1"/>
      <w:marLeft w:val="0"/>
      <w:marRight w:val="0"/>
      <w:marTop w:val="0"/>
      <w:marBottom w:val="0"/>
      <w:divBdr>
        <w:top w:val="none" w:sz="0" w:space="0" w:color="auto"/>
        <w:left w:val="none" w:sz="0" w:space="0" w:color="auto"/>
        <w:bottom w:val="none" w:sz="0" w:space="0" w:color="auto"/>
        <w:right w:val="none" w:sz="0" w:space="0" w:color="auto"/>
      </w:divBdr>
    </w:div>
    <w:div w:id="133307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it.gov/newsroom/web-site-disclaim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hl7.org/index.php?title=FHIR_Maturity_Model" TargetMode="External"/><Relationship Id="rId5" Type="http://schemas.openxmlformats.org/officeDocument/2006/relationships/hyperlink" Target="http://www.hl7.org/implement/standards/product_brief.cfm?product_id=47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Constantina Papoutsakis</dc:creator>
  <cp:lastModifiedBy>Constantina Papoutsakis</cp:lastModifiedBy>
  <cp:revision>2</cp:revision>
  <dcterms:created xsi:type="dcterms:W3CDTF">2018-10-01T19:18:00Z</dcterms:created>
  <dcterms:modified xsi:type="dcterms:W3CDTF">2018-10-01T19:18:00Z</dcterms:modified>
</cp:coreProperties>
</file>