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AF9BA" w14:textId="77777777" w:rsidR="00B33D7C" w:rsidRPr="00B33D7C" w:rsidRDefault="00B33D7C" w:rsidP="00B33D7C">
      <w:pPr>
        <w:rPr>
          <w:rFonts w:ascii="Open Sans" w:hAnsi="Open Sans" w:cs="Open Sans"/>
        </w:rPr>
      </w:pPr>
      <w:r w:rsidRPr="00B33D7C">
        <w:rPr>
          <w:rFonts w:ascii="Open Sans" w:hAnsi="Open Sans" w:cs="Open Sans"/>
        </w:rPr>
        <w:t>USCDI Version 3 Proposal:</w:t>
      </w:r>
    </w:p>
    <w:p w14:paraId="37FB01C1" w14:textId="04DA6A45" w:rsidR="00B33D7C" w:rsidRPr="00B33D7C" w:rsidRDefault="00B33D7C" w:rsidP="00B33D7C">
      <w:pPr>
        <w:rPr>
          <w:rFonts w:ascii="Open Sans" w:hAnsi="Open Sans" w:cs="Open Sans"/>
        </w:rPr>
      </w:pPr>
      <w:r>
        <w:rPr>
          <w:rFonts w:ascii="Open Sans" w:hAnsi="Open Sans" w:cs="Open Sans"/>
        </w:rPr>
        <w:t>Functional Status Assessment</w:t>
      </w:r>
    </w:p>
    <w:p w14:paraId="774BBA58" w14:textId="293772CE" w:rsidR="00644B03" w:rsidRDefault="00644B03"/>
    <w:tbl>
      <w:tblPr>
        <w:tblW w:w="13310" w:type="dxa"/>
        <w:shd w:val="clear" w:color="auto" w:fill="FFFFFF"/>
        <w:tblCellMar>
          <w:top w:w="15" w:type="dxa"/>
          <w:left w:w="15" w:type="dxa"/>
          <w:bottom w:w="15" w:type="dxa"/>
          <w:right w:w="15" w:type="dxa"/>
        </w:tblCellMar>
        <w:tblLook w:val="04A0" w:firstRow="1" w:lastRow="0" w:firstColumn="1" w:lastColumn="0" w:noHBand="0" w:noVBand="1"/>
      </w:tblPr>
      <w:tblGrid>
        <w:gridCol w:w="3590"/>
        <w:gridCol w:w="9720"/>
      </w:tblGrid>
      <w:tr w:rsidR="00B33D7C" w:rsidRPr="00B33D7C" w14:paraId="76B9A2F3" w14:textId="77777777" w:rsidTr="00B33D7C">
        <w:tc>
          <w:tcPr>
            <w:tcW w:w="13310" w:type="dxa"/>
            <w:gridSpan w:val="2"/>
            <w:tcBorders>
              <w:top w:val="single" w:sz="6" w:space="0" w:color="333333"/>
              <w:left w:val="single" w:sz="6" w:space="0" w:color="333333"/>
              <w:bottom w:val="single" w:sz="6" w:space="0" w:color="333333"/>
              <w:right w:val="single" w:sz="6" w:space="0" w:color="333333"/>
            </w:tcBorders>
            <w:shd w:val="clear" w:color="auto" w:fill="D0EBFC"/>
            <w:tcMar>
              <w:top w:w="120" w:type="dxa"/>
              <w:left w:w="60" w:type="dxa"/>
              <w:bottom w:w="120" w:type="dxa"/>
              <w:right w:w="60" w:type="dxa"/>
            </w:tcMar>
            <w:hideMark/>
          </w:tcPr>
          <w:p w14:paraId="232C54B0" w14:textId="77777777" w:rsidR="00B33D7C" w:rsidRPr="00B33D7C" w:rsidRDefault="00B33D7C" w:rsidP="00B33D7C">
            <w:pPr>
              <w:spacing w:before="180" w:after="480"/>
              <w:jc w:val="center"/>
              <w:rPr>
                <w:rFonts w:ascii="Roboto Condensed" w:hAnsi="Roboto Condensed" w:cs="Open Sans"/>
                <w:color w:val="000000"/>
              </w:rPr>
            </w:pPr>
            <w:r w:rsidRPr="00B33D7C">
              <w:rPr>
                <w:rFonts w:ascii="Roboto Condensed" w:hAnsi="Roboto Condensed" w:cs="Open Sans"/>
                <w:color w:val="000000"/>
              </w:rPr>
              <w:t xml:space="preserve">Submitted By: Steve Bratt / CodeX (Common Oncology Data Elements </w:t>
            </w:r>
            <w:proofErr w:type="spellStart"/>
            <w:r w:rsidRPr="00B33D7C">
              <w:rPr>
                <w:rFonts w:ascii="Roboto Condensed" w:hAnsi="Roboto Condensed" w:cs="Open Sans"/>
                <w:color w:val="000000"/>
              </w:rPr>
              <w:t>eXtensions</w:t>
            </w:r>
            <w:proofErr w:type="spellEnd"/>
            <w:r w:rsidRPr="00B33D7C">
              <w:rPr>
                <w:rFonts w:ascii="Roboto Condensed" w:hAnsi="Roboto Condensed" w:cs="Open Sans"/>
                <w:color w:val="000000"/>
              </w:rPr>
              <w:t xml:space="preserve">), a </w:t>
            </w:r>
            <w:proofErr w:type="gramStart"/>
            <w:r w:rsidRPr="00B33D7C">
              <w:rPr>
                <w:rFonts w:ascii="Roboto Condensed" w:hAnsi="Roboto Condensed" w:cs="Open Sans"/>
                <w:color w:val="000000"/>
              </w:rPr>
              <w:t>member-driven</w:t>
            </w:r>
            <w:proofErr w:type="gramEnd"/>
            <w:r w:rsidRPr="00B33D7C">
              <w:rPr>
                <w:rFonts w:ascii="Roboto Condensed" w:hAnsi="Roboto Condensed" w:cs="Open Sans"/>
                <w:color w:val="000000"/>
              </w:rPr>
              <w:t xml:space="preserve"> HL7 FHIR accelerator</w:t>
            </w:r>
          </w:p>
        </w:tc>
      </w:tr>
      <w:tr w:rsidR="00B33D7C" w:rsidRPr="00B33D7C" w14:paraId="72C76442" w14:textId="77777777" w:rsidTr="00B33D7C">
        <w:tc>
          <w:tcPr>
            <w:tcW w:w="13310" w:type="dxa"/>
            <w:gridSpan w:val="2"/>
            <w:tcBorders>
              <w:top w:val="single" w:sz="6" w:space="0" w:color="333333"/>
              <w:left w:val="single" w:sz="6" w:space="0" w:color="333333"/>
              <w:bottom w:val="single" w:sz="6" w:space="0" w:color="333333"/>
              <w:right w:val="single" w:sz="6" w:space="0" w:color="333333"/>
            </w:tcBorders>
            <w:shd w:val="clear" w:color="auto" w:fill="D0EBFC"/>
            <w:tcMar>
              <w:top w:w="120" w:type="dxa"/>
              <w:left w:w="60" w:type="dxa"/>
              <w:bottom w:w="120" w:type="dxa"/>
              <w:right w:w="60" w:type="dxa"/>
            </w:tcMar>
            <w:hideMark/>
          </w:tcPr>
          <w:p w14:paraId="4AAD3B43" w14:textId="77777777" w:rsidR="00B33D7C" w:rsidRPr="00B33D7C" w:rsidRDefault="00B33D7C" w:rsidP="00B33D7C">
            <w:pPr>
              <w:spacing w:before="180" w:after="480"/>
              <w:jc w:val="center"/>
              <w:rPr>
                <w:rFonts w:ascii="Roboto Condensed" w:hAnsi="Roboto Condensed" w:cs="Open Sans"/>
                <w:color w:val="000000"/>
              </w:rPr>
            </w:pPr>
            <w:r w:rsidRPr="00B33D7C">
              <w:rPr>
                <w:rFonts w:ascii="Roboto Condensed" w:hAnsi="Roboto Condensed" w:cs="Open Sans"/>
                <w:color w:val="000000"/>
              </w:rPr>
              <w:t>Data Element Information</w:t>
            </w:r>
          </w:p>
        </w:tc>
      </w:tr>
      <w:tr w:rsidR="00B33D7C" w:rsidRPr="00B33D7C" w14:paraId="73F4F978"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665E3FE5" w14:textId="77777777" w:rsidR="00B33D7C" w:rsidRPr="00B33D7C" w:rsidRDefault="00B33D7C" w:rsidP="00B33D7C">
            <w:pPr>
              <w:spacing w:before="180" w:after="480"/>
              <w:rPr>
                <w:rFonts w:ascii="Open Sans" w:hAnsi="Open Sans" w:cs="Open Sans"/>
                <w:color w:val="000000"/>
                <w:sz w:val="20"/>
                <w:szCs w:val="20"/>
              </w:rPr>
            </w:pPr>
            <w:r w:rsidRPr="00B33D7C">
              <w:rPr>
                <w:rFonts w:ascii="Open Sans" w:hAnsi="Open Sans" w:cs="Open Sans"/>
                <w:color w:val="000000"/>
                <w:sz w:val="20"/>
                <w:szCs w:val="20"/>
              </w:rPr>
              <w:t>Data Class</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48C62136" w14:textId="77777777" w:rsidR="00B33D7C" w:rsidRPr="00B33D7C" w:rsidRDefault="00B33D7C" w:rsidP="00B33D7C">
            <w:pPr>
              <w:spacing w:before="180" w:after="480" w:line="360" w:lineRule="atLeast"/>
              <w:rPr>
                <w:rFonts w:ascii="Open Sans" w:hAnsi="Open Sans" w:cs="Open Sans"/>
                <w:color w:val="000000"/>
                <w:sz w:val="20"/>
                <w:szCs w:val="20"/>
              </w:rPr>
            </w:pPr>
            <w:r w:rsidRPr="00B33D7C">
              <w:rPr>
                <w:rFonts w:ascii="Open Sans" w:hAnsi="Open Sans" w:cs="Open Sans"/>
                <w:color w:val="000000"/>
                <w:sz w:val="20"/>
                <w:szCs w:val="20"/>
              </w:rPr>
              <w:t>Assessment and Plan of Treatment</w:t>
            </w:r>
          </w:p>
        </w:tc>
      </w:tr>
      <w:tr w:rsidR="00B33D7C" w:rsidRPr="00B33D7C" w14:paraId="5F853990"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18135D2B" w14:textId="77777777" w:rsidR="00B33D7C" w:rsidRPr="00B33D7C" w:rsidRDefault="00B33D7C" w:rsidP="00B33D7C">
            <w:pPr>
              <w:spacing w:before="180" w:after="480"/>
              <w:rPr>
                <w:rFonts w:ascii="Open Sans" w:hAnsi="Open Sans" w:cs="Open Sans"/>
                <w:color w:val="000000"/>
                <w:sz w:val="20"/>
                <w:szCs w:val="20"/>
              </w:rPr>
            </w:pPr>
            <w:r w:rsidRPr="00B33D7C">
              <w:rPr>
                <w:rFonts w:ascii="Open Sans" w:hAnsi="Open Sans" w:cs="Open Sans"/>
                <w:color w:val="000000"/>
                <w:sz w:val="20"/>
                <w:szCs w:val="20"/>
              </w:rPr>
              <w:t>Data Element Name</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39E9F5BD" w14:textId="77777777" w:rsidR="00B33D7C" w:rsidRPr="00B33D7C" w:rsidRDefault="00B33D7C" w:rsidP="00B33D7C">
            <w:pPr>
              <w:spacing w:before="180" w:after="480" w:line="360" w:lineRule="atLeast"/>
              <w:rPr>
                <w:rFonts w:ascii="Open Sans" w:hAnsi="Open Sans" w:cs="Open Sans"/>
                <w:color w:val="000000"/>
                <w:sz w:val="20"/>
                <w:szCs w:val="20"/>
              </w:rPr>
            </w:pPr>
            <w:r w:rsidRPr="00B33D7C">
              <w:rPr>
                <w:rFonts w:ascii="Open Sans" w:hAnsi="Open Sans" w:cs="Open Sans"/>
                <w:color w:val="000000"/>
                <w:sz w:val="20"/>
                <w:szCs w:val="20"/>
              </w:rPr>
              <w:t>Functional Status Assessment</w:t>
            </w:r>
          </w:p>
        </w:tc>
      </w:tr>
      <w:tr w:rsidR="00B33D7C" w:rsidRPr="00B33D7C" w14:paraId="52D18FBF"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14FE245A" w14:textId="77777777" w:rsidR="00B33D7C" w:rsidRPr="00B33D7C" w:rsidRDefault="00B33D7C" w:rsidP="00B33D7C">
            <w:pPr>
              <w:spacing w:before="180" w:after="480"/>
              <w:rPr>
                <w:rFonts w:ascii="Open Sans" w:hAnsi="Open Sans" w:cs="Open Sans"/>
                <w:color w:val="000000"/>
                <w:sz w:val="20"/>
                <w:szCs w:val="20"/>
              </w:rPr>
            </w:pPr>
            <w:r w:rsidRPr="00B33D7C">
              <w:rPr>
                <w:rFonts w:ascii="Open Sans" w:hAnsi="Open Sans" w:cs="Open Sans"/>
                <w:color w:val="000000"/>
                <w:sz w:val="20"/>
                <w:szCs w:val="20"/>
              </w:rPr>
              <w:t>Description</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74C55EC5" w14:textId="77777777" w:rsidR="00B33D7C" w:rsidRPr="00B33D7C" w:rsidRDefault="00B33D7C" w:rsidP="00B33D7C">
            <w:pPr>
              <w:spacing w:before="180" w:after="480" w:line="360" w:lineRule="atLeast"/>
              <w:rPr>
                <w:rFonts w:ascii="Open Sans" w:hAnsi="Open Sans" w:cs="Open Sans"/>
                <w:color w:val="000000"/>
                <w:sz w:val="20"/>
                <w:szCs w:val="20"/>
              </w:rPr>
            </w:pPr>
            <w:r w:rsidRPr="00B33D7C">
              <w:rPr>
                <w:rFonts w:ascii="Open Sans" w:hAnsi="Open Sans" w:cs="Open Sans"/>
                <w:color w:val="000000"/>
                <w:sz w:val="20"/>
                <w:szCs w:val="20"/>
              </w:rPr>
              <w:t xml:space="preserve">Functional status assessments are commonly used in healthcare to document a patient’s baseline ability to manage daily routines and life activities. This assessment can be used as an indicator of quality of life (QOL) and help guide delivering patient-centered care. Functional status assessments are used broadly in </w:t>
            </w:r>
            <w:proofErr w:type="gramStart"/>
            <w:r w:rsidRPr="00B33D7C">
              <w:rPr>
                <w:rFonts w:ascii="Open Sans" w:hAnsi="Open Sans" w:cs="Open Sans"/>
                <w:color w:val="000000"/>
                <w:sz w:val="20"/>
                <w:szCs w:val="20"/>
              </w:rPr>
              <w:t>healthcare, and</w:t>
            </w:r>
            <w:proofErr w:type="gramEnd"/>
            <w:r w:rsidRPr="00B33D7C">
              <w:rPr>
                <w:rFonts w:ascii="Open Sans" w:hAnsi="Open Sans" w:cs="Open Sans"/>
                <w:color w:val="000000"/>
                <w:sz w:val="20"/>
                <w:szCs w:val="20"/>
              </w:rPr>
              <w:t xml:space="preserve"> can be used to:</w:t>
            </w:r>
            <w:r w:rsidRPr="00B33D7C">
              <w:rPr>
                <w:rFonts w:ascii="Open Sans" w:hAnsi="Open Sans" w:cs="Open Sans"/>
                <w:color w:val="000000"/>
                <w:sz w:val="20"/>
                <w:szCs w:val="20"/>
              </w:rPr>
              <w:br/>
              <w:t>* screen initially for problems, as well monitor the patient over time</w:t>
            </w:r>
            <w:r w:rsidRPr="00B33D7C">
              <w:rPr>
                <w:rFonts w:ascii="Open Sans" w:hAnsi="Open Sans" w:cs="Open Sans"/>
                <w:color w:val="000000"/>
                <w:sz w:val="20"/>
                <w:szCs w:val="20"/>
              </w:rPr>
              <w:br/>
              <w:t>* assess how a disease impacts a patient’s baseline functional status and their overall ability to tolerate certain therapies during serious illness</w:t>
            </w:r>
            <w:r w:rsidRPr="00B33D7C">
              <w:rPr>
                <w:rFonts w:ascii="Open Sans" w:hAnsi="Open Sans" w:cs="Open Sans"/>
                <w:color w:val="000000"/>
                <w:sz w:val="20"/>
                <w:szCs w:val="20"/>
              </w:rPr>
              <w:br/>
            </w:r>
            <w:r w:rsidRPr="00B33D7C">
              <w:rPr>
                <w:rFonts w:ascii="Open Sans" w:hAnsi="Open Sans" w:cs="Open Sans"/>
                <w:color w:val="000000"/>
                <w:sz w:val="20"/>
                <w:szCs w:val="20"/>
              </w:rPr>
              <w:br/>
            </w:r>
            <w:r w:rsidRPr="00B33D7C">
              <w:rPr>
                <w:rFonts w:ascii="Open Sans" w:hAnsi="Open Sans" w:cs="Open Sans"/>
                <w:color w:val="000000"/>
                <w:sz w:val="20"/>
                <w:szCs w:val="20"/>
              </w:rPr>
              <w:lastRenderedPageBreak/>
              <w:t>Functional status assessments can be generic or disease specific. For instance, in oncology, the Eastern Cooperative Oncology Group (ECOG) Performance Status assists in determining a patient’s potential chemotherapy tolerance.</w:t>
            </w:r>
          </w:p>
        </w:tc>
      </w:tr>
      <w:tr w:rsidR="00B33D7C" w:rsidRPr="00B33D7C" w14:paraId="2E9FBC81"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4C8466AE" w14:textId="77777777" w:rsidR="00B33D7C" w:rsidRPr="00B33D7C" w:rsidRDefault="00B33D7C" w:rsidP="00B33D7C">
            <w:pPr>
              <w:spacing w:before="180" w:after="480"/>
              <w:rPr>
                <w:rFonts w:ascii="Open Sans" w:hAnsi="Open Sans" w:cs="Open Sans"/>
                <w:color w:val="000000"/>
                <w:sz w:val="20"/>
                <w:szCs w:val="20"/>
              </w:rPr>
            </w:pPr>
            <w:r w:rsidRPr="00B33D7C">
              <w:rPr>
                <w:rFonts w:ascii="Open Sans" w:hAnsi="Open Sans" w:cs="Open Sans"/>
                <w:color w:val="000000"/>
                <w:sz w:val="20"/>
                <w:szCs w:val="20"/>
              </w:rPr>
              <w:lastRenderedPageBreak/>
              <w:t>Current Status</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0E640851" w14:textId="77777777" w:rsidR="00B33D7C" w:rsidRPr="00B33D7C" w:rsidRDefault="00B33D7C" w:rsidP="00B33D7C">
            <w:pPr>
              <w:spacing w:before="180" w:after="480" w:line="360" w:lineRule="atLeast"/>
              <w:rPr>
                <w:rFonts w:ascii="Open Sans" w:hAnsi="Open Sans" w:cs="Open Sans"/>
                <w:color w:val="000000"/>
                <w:sz w:val="20"/>
                <w:szCs w:val="20"/>
              </w:rPr>
            </w:pPr>
            <w:r w:rsidRPr="00B33D7C">
              <w:rPr>
                <w:rFonts w:ascii="Open Sans" w:hAnsi="Open Sans" w:cs="Open Sans"/>
                <w:color w:val="000000"/>
                <w:sz w:val="20"/>
                <w:szCs w:val="20"/>
              </w:rPr>
              <w:t>Submitted</w:t>
            </w:r>
          </w:p>
        </w:tc>
      </w:tr>
      <w:tr w:rsidR="00B33D7C" w:rsidRPr="00B33D7C" w14:paraId="4F4B679F"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410F79BA" w14:textId="77777777" w:rsidR="00B33D7C" w:rsidRPr="00B33D7C" w:rsidRDefault="00B33D7C" w:rsidP="00B33D7C">
            <w:pPr>
              <w:spacing w:before="180" w:after="480"/>
              <w:rPr>
                <w:rFonts w:ascii="Open Sans" w:hAnsi="Open Sans" w:cs="Open Sans"/>
                <w:color w:val="000000"/>
                <w:sz w:val="20"/>
                <w:szCs w:val="20"/>
              </w:rPr>
            </w:pPr>
            <w:r w:rsidRPr="00B33D7C">
              <w:rPr>
                <w:rFonts w:ascii="Open Sans" w:hAnsi="Open Sans" w:cs="Open Sans"/>
                <w:color w:val="000000"/>
                <w:sz w:val="20"/>
                <w:szCs w:val="20"/>
              </w:rPr>
              <w:t>Current Classification Level</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09BDBEBF" w14:textId="77777777" w:rsidR="00B33D7C" w:rsidRPr="00B33D7C" w:rsidRDefault="00B33D7C" w:rsidP="00B33D7C">
            <w:pPr>
              <w:spacing w:before="180" w:after="480" w:line="360" w:lineRule="atLeast"/>
              <w:rPr>
                <w:rFonts w:ascii="Open Sans" w:hAnsi="Open Sans" w:cs="Open Sans"/>
                <w:color w:val="000000"/>
                <w:sz w:val="20"/>
                <w:szCs w:val="20"/>
              </w:rPr>
            </w:pPr>
            <w:r w:rsidRPr="00B33D7C">
              <w:rPr>
                <w:rFonts w:ascii="Open Sans" w:hAnsi="Open Sans" w:cs="Open Sans"/>
                <w:color w:val="000000"/>
                <w:sz w:val="20"/>
                <w:szCs w:val="20"/>
              </w:rPr>
              <w:t>N/A</w:t>
            </w:r>
          </w:p>
        </w:tc>
      </w:tr>
      <w:tr w:rsidR="00B33D7C" w:rsidRPr="00B33D7C" w14:paraId="32AAF7DB" w14:textId="77777777" w:rsidTr="00B33D7C">
        <w:tc>
          <w:tcPr>
            <w:tcW w:w="13310" w:type="dxa"/>
            <w:gridSpan w:val="2"/>
            <w:tcBorders>
              <w:top w:val="single" w:sz="6" w:space="0" w:color="333333"/>
              <w:left w:val="single" w:sz="6" w:space="0" w:color="333333"/>
              <w:bottom w:val="single" w:sz="6" w:space="0" w:color="333333"/>
              <w:right w:val="single" w:sz="6" w:space="0" w:color="333333"/>
            </w:tcBorders>
            <w:shd w:val="clear" w:color="auto" w:fill="D0EBFC"/>
            <w:tcMar>
              <w:top w:w="120" w:type="dxa"/>
              <w:left w:w="60" w:type="dxa"/>
              <w:bottom w:w="120" w:type="dxa"/>
              <w:right w:w="60" w:type="dxa"/>
            </w:tcMar>
            <w:hideMark/>
          </w:tcPr>
          <w:p w14:paraId="1AD32E7B" w14:textId="77777777" w:rsidR="00B33D7C" w:rsidRPr="00B33D7C" w:rsidRDefault="00B33D7C" w:rsidP="00B33D7C">
            <w:pPr>
              <w:spacing w:before="180" w:after="480"/>
              <w:jc w:val="center"/>
              <w:rPr>
                <w:rFonts w:ascii="Roboto Condensed" w:hAnsi="Roboto Condensed" w:cs="Open Sans"/>
                <w:color w:val="000000"/>
              </w:rPr>
            </w:pPr>
            <w:r w:rsidRPr="00B33D7C">
              <w:rPr>
                <w:rFonts w:ascii="Roboto Condensed" w:hAnsi="Roboto Condensed" w:cs="Open Sans"/>
                <w:color w:val="000000"/>
              </w:rPr>
              <w:t>Use Case Description(s)</w:t>
            </w:r>
          </w:p>
        </w:tc>
      </w:tr>
      <w:tr w:rsidR="00B33D7C" w:rsidRPr="00B33D7C" w14:paraId="5547022C"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63F357DC" w14:textId="77777777" w:rsidR="00B33D7C" w:rsidRPr="00B33D7C" w:rsidRDefault="00B33D7C" w:rsidP="00B33D7C">
            <w:pPr>
              <w:spacing w:before="180" w:after="480"/>
              <w:rPr>
                <w:rFonts w:ascii="Open Sans" w:hAnsi="Open Sans" w:cs="Open Sans"/>
                <w:color w:val="000000"/>
                <w:sz w:val="20"/>
                <w:szCs w:val="20"/>
              </w:rPr>
            </w:pPr>
            <w:r w:rsidRPr="00B33D7C">
              <w:rPr>
                <w:rFonts w:ascii="Open Sans" w:hAnsi="Open Sans" w:cs="Open Sans"/>
                <w:color w:val="000000"/>
                <w:sz w:val="20"/>
                <w:szCs w:val="20"/>
              </w:rPr>
              <w:t>Use Case Description</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097E81D2" w14:textId="77777777" w:rsidR="00B33D7C" w:rsidRPr="00B33D7C" w:rsidRDefault="00B33D7C" w:rsidP="00B33D7C">
            <w:pPr>
              <w:spacing w:before="180" w:after="480" w:line="360" w:lineRule="atLeast"/>
              <w:rPr>
                <w:rFonts w:ascii="Open Sans" w:hAnsi="Open Sans" w:cs="Open Sans"/>
                <w:color w:val="000000"/>
                <w:sz w:val="20"/>
                <w:szCs w:val="20"/>
              </w:rPr>
            </w:pPr>
            <w:r w:rsidRPr="00B33D7C">
              <w:rPr>
                <w:rFonts w:ascii="Open Sans" w:hAnsi="Open Sans" w:cs="Open Sans"/>
                <w:color w:val="000000"/>
                <w:sz w:val="20"/>
                <w:szCs w:val="20"/>
              </w:rPr>
              <w:t>A plethora of functional status assessment tools have been created to assist clinical management and are used broadly in medicine in fields such as oncology, palliative care, surgery, orthopedics, geriatrics, psychiatry, neurology, physical medicine and rehabilitation, nursing, etc. Achieving optimal patient outcomes for health and well-being requires an understanding of factors that affect quality of life (QOL), such as the ability of patients to perform basic activities and participate in life situations.</w:t>
            </w:r>
            <w:r w:rsidRPr="00B33D7C">
              <w:rPr>
                <w:rFonts w:ascii="Open Sans" w:hAnsi="Open Sans" w:cs="Open Sans"/>
                <w:color w:val="000000"/>
                <w:sz w:val="20"/>
                <w:szCs w:val="20"/>
              </w:rPr>
              <w:br/>
            </w:r>
            <w:r w:rsidRPr="00B33D7C">
              <w:rPr>
                <w:rFonts w:ascii="Open Sans" w:hAnsi="Open Sans" w:cs="Open Sans"/>
                <w:color w:val="000000"/>
                <w:sz w:val="20"/>
                <w:szCs w:val="20"/>
              </w:rPr>
              <w:br/>
              <w:t>Although varying functional status assessments exist, these tend to follow a similar structure (</w:t>
            </w:r>
            <w:proofErr w:type="gramStart"/>
            <w:r w:rsidRPr="00B33D7C">
              <w:rPr>
                <w:rFonts w:ascii="Open Sans" w:hAnsi="Open Sans" w:cs="Open Sans"/>
                <w:color w:val="000000"/>
                <w:sz w:val="20"/>
                <w:szCs w:val="20"/>
              </w:rPr>
              <w:t>e.g.</w:t>
            </w:r>
            <w:proofErr w:type="gramEnd"/>
            <w:r w:rsidRPr="00B33D7C">
              <w:rPr>
                <w:rFonts w:ascii="Open Sans" w:hAnsi="Open Sans" w:cs="Open Sans"/>
                <w:color w:val="000000"/>
                <w:sz w:val="20"/>
                <w:szCs w:val="20"/>
              </w:rPr>
              <w:t xml:space="preserve"> functional status assessment type, assessment criteria, assessment score/interpretation). Many of these functional status assessment criteria/observations already encoded in the standard Logical </w:t>
            </w:r>
            <w:r w:rsidRPr="00B33D7C">
              <w:rPr>
                <w:rFonts w:ascii="Open Sans" w:hAnsi="Open Sans" w:cs="Open Sans"/>
                <w:color w:val="000000"/>
                <w:sz w:val="20"/>
                <w:szCs w:val="20"/>
              </w:rPr>
              <w:lastRenderedPageBreak/>
              <w:t>Observation Identifiers Names and Codes (LOINC). The case for adopting functional status assessment into the USCDI is supported by the following:</w:t>
            </w:r>
            <w:r w:rsidRPr="00B33D7C">
              <w:rPr>
                <w:rFonts w:ascii="Open Sans" w:hAnsi="Open Sans" w:cs="Open Sans"/>
                <w:color w:val="000000"/>
                <w:sz w:val="20"/>
                <w:szCs w:val="20"/>
              </w:rPr>
              <w:br/>
              <w:t>* Aforementioned commonalities in functional status assessment structures.</w:t>
            </w:r>
            <w:r w:rsidRPr="00B33D7C">
              <w:rPr>
                <w:rFonts w:ascii="Open Sans" w:hAnsi="Open Sans" w:cs="Open Sans"/>
                <w:color w:val="000000"/>
                <w:sz w:val="20"/>
                <w:szCs w:val="20"/>
              </w:rPr>
              <w:br/>
              <w:t>* Ability to represent functional status data in existing standards.</w:t>
            </w:r>
            <w:r w:rsidRPr="00B33D7C">
              <w:rPr>
                <w:rFonts w:ascii="Open Sans" w:hAnsi="Open Sans" w:cs="Open Sans"/>
                <w:color w:val="000000"/>
                <w:sz w:val="20"/>
                <w:szCs w:val="20"/>
              </w:rPr>
              <w:br/>
              <w:t>* Widespread use of these assessments across healthcare.</w:t>
            </w:r>
            <w:r w:rsidRPr="00B33D7C">
              <w:rPr>
                <w:rFonts w:ascii="Open Sans" w:hAnsi="Open Sans" w:cs="Open Sans"/>
                <w:color w:val="000000"/>
                <w:sz w:val="20"/>
                <w:szCs w:val="20"/>
              </w:rPr>
              <w:br/>
            </w:r>
            <w:r w:rsidRPr="00B33D7C">
              <w:rPr>
                <w:rFonts w:ascii="Open Sans" w:hAnsi="Open Sans" w:cs="Open Sans"/>
                <w:color w:val="000000"/>
                <w:sz w:val="20"/>
                <w:szCs w:val="20"/>
              </w:rPr>
              <w:br/>
              <w:t>Examples of functional status assessments include:</w:t>
            </w:r>
            <w:r w:rsidRPr="00B33D7C">
              <w:rPr>
                <w:rFonts w:ascii="Open Sans" w:hAnsi="Open Sans" w:cs="Open Sans"/>
                <w:color w:val="000000"/>
                <w:sz w:val="20"/>
                <w:szCs w:val="20"/>
              </w:rPr>
              <w:br/>
              <w:t>* Outcome and Assessment Information Set (OASIS)</w:t>
            </w:r>
            <w:r w:rsidRPr="00B33D7C">
              <w:rPr>
                <w:rFonts w:ascii="Open Sans" w:hAnsi="Open Sans" w:cs="Open Sans"/>
                <w:color w:val="000000"/>
                <w:sz w:val="20"/>
                <w:szCs w:val="20"/>
              </w:rPr>
              <w:br/>
              <w:t>* Modified Rankin Scale (</w:t>
            </w:r>
            <w:proofErr w:type="spellStart"/>
            <w:r w:rsidRPr="00B33D7C">
              <w:rPr>
                <w:rFonts w:ascii="Open Sans" w:hAnsi="Open Sans" w:cs="Open Sans"/>
                <w:color w:val="000000"/>
                <w:sz w:val="20"/>
                <w:szCs w:val="20"/>
              </w:rPr>
              <w:t>mRS</w:t>
            </w:r>
            <w:proofErr w:type="spellEnd"/>
            <w:r w:rsidRPr="00B33D7C">
              <w:rPr>
                <w:rFonts w:ascii="Open Sans" w:hAnsi="Open Sans" w:cs="Open Sans"/>
                <w:color w:val="000000"/>
                <w:sz w:val="20"/>
                <w:szCs w:val="20"/>
              </w:rPr>
              <w:t>)</w:t>
            </w:r>
            <w:r w:rsidRPr="00B33D7C">
              <w:rPr>
                <w:rFonts w:ascii="Open Sans" w:hAnsi="Open Sans" w:cs="Open Sans"/>
                <w:color w:val="000000"/>
                <w:sz w:val="20"/>
                <w:szCs w:val="20"/>
              </w:rPr>
              <w:br/>
              <w:t>* Katz ADL Scale</w:t>
            </w:r>
            <w:r w:rsidRPr="00B33D7C">
              <w:rPr>
                <w:rFonts w:ascii="Open Sans" w:hAnsi="Open Sans" w:cs="Open Sans"/>
                <w:color w:val="000000"/>
                <w:sz w:val="20"/>
                <w:szCs w:val="20"/>
              </w:rPr>
              <w:br/>
              <w:t>* Barthel Index</w:t>
            </w:r>
            <w:r w:rsidRPr="00B33D7C">
              <w:rPr>
                <w:rFonts w:ascii="Open Sans" w:hAnsi="Open Sans" w:cs="Open Sans"/>
                <w:color w:val="000000"/>
                <w:sz w:val="20"/>
                <w:szCs w:val="20"/>
              </w:rPr>
              <w:br/>
              <w:t>* Lawton-Brody IADL Scale</w:t>
            </w:r>
            <w:r w:rsidRPr="00B33D7C">
              <w:rPr>
                <w:rFonts w:ascii="Open Sans" w:hAnsi="Open Sans" w:cs="Open Sans"/>
                <w:color w:val="000000"/>
                <w:sz w:val="20"/>
                <w:szCs w:val="20"/>
              </w:rPr>
              <w:br/>
              <w:t>* Mini-Mental Exam</w:t>
            </w:r>
            <w:r w:rsidRPr="00B33D7C">
              <w:rPr>
                <w:rFonts w:ascii="Open Sans" w:hAnsi="Open Sans" w:cs="Open Sans"/>
                <w:color w:val="000000"/>
                <w:sz w:val="20"/>
                <w:szCs w:val="20"/>
              </w:rPr>
              <w:br/>
              <w:t>* Functional Activities Questionnaire</w:t>
            </w:r>
            <w:r w:rsidRPr="00B33D7C">
              <w:rPr>
                <w:rFonts w:ascii="Open Sans" w:hAnsi="Open Sans" w:cs="Open Sans"/>
                <w:color w:val="000000"/>
                <w:sz w:val="20"/>
                <w:szCs w:val="20"/>
              </w:rPr>
              <w:br/>
              <w:t>* Veterans RAND 12-Item Health Survey</w:t>
            </w:r>
            <w:r w:rsidRPr="00B33D7C">
              <w:rPr>
                <w:rFonts w:ascii="Open Sans" w:hAnsi="Open Sans" w:cs="Open Sans"/>
                <w:color w:val="000000"/>
                <w:sz w:val="20"/>
                <w:szCs w:val="20"/>
              </w:rPr>
              <w:br/>
              <w:t>* Karnofsky Performance Status (KPS)</w:t>
            </w:r>
            <w:r w:rsidRPr="00B33D7C">
              <w:rPr>
                <w:rFonts w:ascii="Open Sans" w:hAnsi="Open Sans" w:cs="Open Sans"/>
                <w:color w:val="000000"/>
                <w:sz w:val="20"/>
                <w:szCs w:val="20"/>
              </w:rPr>
              <w:br/>
              <w:t>* Eastern Cooperative Oncology Group (ECOG) Performance Status</w:t>
            </w:r>
            <w:r w:rsidRPr="00B33D7C">
              <w:rPr>
                <w:rFonts w:ascii="Open Sans" w:hAnsi="Open Sans" w:cs="Open Sans"/>
                <w:color w:val="000000"/>
                <w:sz w:val="20"/>
                <w:szCs w:val="20"/>
              </w:rPr>
              <w:br/>
            </w:r>
            <w:r w:rsidRPr="00B33D7C">
              <w:rPr>
                <w:rFonts w:ascii="Open Sans" w:hAnsi="Open Sans" w:cs="Open Sans"/>
                <w:color w:val="000000"/>
                <w:sz w:val="20"/>
                <w:szCs w:val="20"/>
              </w:rPr>
              <w:br/>
              <w:t>The many existing use cases are evident of the need for a functional status assessment data element:</w:t>
            </w:r>
            <w:r w:rsidRPr="00B33D7C">
              <w:rPr>
                <w:rFonts w:ascii="Open Sans" w:hAnsi="Open Sans" w:cs="Open Sans"/>
                <w:color w:val="000000"/>
                <w:sz w:val="20"/>
                <w:szCs w:val="20"/>
              </w:rPr>
              <w:br/>
            </w:r>
            <w:r w:rsidRPr="00B33D7C">
              <w:rPr>
                <w:rFonts w:ascii="Open Sans" w:hAnsi="Open Sans" w:cs="Open Sans"/>
                <w:color w:val="000000"/>
                <w:sz w:val="20"/>
                <w:szCs w:val="20"/>
              </w:rPr>
              <w:br/>
              <w:t>* Clinical care management</w:t>
            </w:r>
            <w:r w:rsidRPr="00B33D7C">
              <w:rPr>
                <w:rFonts w:ascii="Open Sans" w:hAnsi="Open Sans" w:cs="Open Sans"/>
                <w:color w:val="000000"/>
                <w:sz w:val="20"/>
                <w:szCs w:val="20"/>
              </w:rPr>
              <w:br/>
              <w:t>---- Directs therapy for hearing, speech, vision, cognition, and mobility</w:t>
            </w:r>
            <w:r w:rsidRPr="00B33D7C">
              <w:rPr>
                <w:rFonts w:ascii="Open Sans" w:hAnsi="Open Sans" w:cs="Open Sans"/>
                <w:color w:val="000000"/>
                <w:sz w:val="20"/>
                <w:szCs w:val="20"/>
              </w:rPr>
              <w:br/>
              <w:t>---- Monitor well-being and baseline functionality for the elderly, children with special needs, patients with specific chronic conditions, etc.</w:t>
            </w:r>
            <w:r w:rsidRPr="00B33D7C">
              <w:rPr>
                <w:rFonts w:ascii="Open Sans" w:hAnsi="Open Sans" w:cs="Open Sans"/>
                <w:color w:val="000000"/>
                <w:sz w:val="20"/>
                <w:szCs w:val="20"/>
              </w:rPr>
              <w:br/>
              <w:t xml:space="preserve">---- Functional status assessments are particularly helpful for monitoring and managing chronic health </w:t>
            </w:r>
            <w:r w:rsidRPr="00B33D7C">
              <w:rPr>
                <w:rFonts w:ascii="Open Sans" w:hAnsi="Open Sans" w:cs="Open Sans"/>
                <w:color w:val="000000"/>
                <w:sz w:val="20"/>
                <w:szCs w:val="20"/>
              </w:rPr>
              <w:lastRenderedPageBreak/>
              <w:t>disease processes (e.g. aging, heart failure, dementia, etc.).</w:t>
            </w:r>
            <w:r w:rsidRPr="00B33D7C">
              <w:rPr>
                <w:rFonts w:ascii="Open Sans" w:hAnsi="Open Sans" w:cs="Open Sans"/>
                <w:color w:val="000000"/>
                <w:sz w:val="20"/>
                <w:szCs w:val="20"/>
              </w:rPr>
              <w:br/>
              <w:t>---- Can assist with determining patient ability to tolerate therapy when considering modalities such as chemotherapy or surgery. Can be used to monitor patients both during and after any such treatments/interventions.</w:t>
            </w:r>
            <w:r w:rsidRPr="00B33D7C">
              <w:rPr>
                <w:rFonts w:ascii="Open Sans" w:hAnsi="Open Sans" w:cs="Open Sans"/>
                <w:color w:val="000000"/>
                <w:sz w:val="20"/>
                <w:szCs w:val="20"/>
              </w:rPr>
              <w:br/>
            </w:r>
            <w:r w:rsidRPr="00B33D7C">
              <w:rPr>
                <w:rFonts w:ascii="Open Sans" w:hAnsi="Open Sans" w:cs="Open Sans"/>
                <w:color w:val="000000"/>
                <w:sz w:val="20"/>
                <w:szCs w:val="20"/>
              </w:rPr>
              <w:br/>
              <w:t>* Care coordination</w:t>
            </w:r>
            <w:r w:rsidRPr="00B33D7C">
              <w:rPr>
                <w:rFonts w:ascii="Open Sans" w:hAnsi="Open Sans" w:cs="Open Sans"/>
                <w:color w:val="000000"/>
                <w:sz w:val="20"/>
                <w:szCs w:val="20"/>
              </w:rPr>
              <w:br/>
              <w:t>---- Can be used to determine patient needs and plan care transition/management across healthcare settings, including ambulatory care, acute care, long-term post-acute care (LTPAC), and home- or community-based services (HCBS).</w:t>
            </w:r>
            <w:r w:rsidRPr="00B33D7C">
              <w:rPr>
                <w:rFonts w:ascii="Open Sans" w:hAnsi="Open Sans" w:cs="Open Sans"/>
                <w:color w:val="000000"/>
                <w:sz w:val="20"/>
                <w:szCs w:val="20"/>
              </w:rPr>
              <w:br/>
              <w:t>---- The 2014 Improving Medicare Post-Acute Care Transformation (IMPACT) Act requires standardization and interoperability of patient assessment for reporting for post-acute care (PAC) settings</w:t>
            </w:r>
            <w:r w:rsidRPr="00B33D7C">
              <w:rPr>
                <w:rFonts w:ascii="Open Sans" w:hAnsi="Open Sans" w:cs="Open Sans"/>
                <w:color w:val="000000"/>
                <w:sz w:val="20"/>
                <w:szCs w:val="20"/>
              </w:rPr>
              <w:br/>
              <w:t>---- Functional status assessment data is key for informing care decisions and gauging resource needs for patients with significant disabilities limiting their ability to carry out ADLs. One example of this is the use of these assessments in the Program of All-Inclusive Care for the Elderly (PACE), which helps provide Medicare beneficiaries ages 55+ living with disabilities and/or chronic care needs community-based healthcare services and support.</w:t>
            </w:r>
            <w:r w:rsidRPr="00B33D7C">
              <w:rPr>
                <w:rFonts w:ascii="Open Sans" w:hAnsi="Open Sans" w:cs="Open Sans"/>
                <w:color w:val="000000"/>
                <w:sz w:val="20"/>
                <w:szCs w:val="20"/>
              </w:rPr>
              <w:br/>
            </w:r>
            <w:r w:rsidRPr="00B33D7C">
              <w:rPr>
                <w:rFonts w:ascii="Open Sans" w:hAnsi="Open Sans" w:cs="Open Sans"/>
                <w:color w:val="000000"/>
                <w:sz w:val="20"/>
                <w:szCs w:val="20"/>
              </w:rPr>
              <w:br/>
              <w:t>* Quality assurance</w:t>
            </w:r>
            <w:r w:rsidRPr="00B33D7C">
              <w:rPr>
                <w:rFonts w:ascii="Open Sans" w:hAnsi="Open Sans" w:cs="Open Sans"/>
                <w:color w:val="000000"/>
                <w:sz w:val="20"/>
                <w:szCs w:val="20"/>
              </w:rPr>
              <w:br/>
              <w:t>---- Currently used as a standardized metric to track patient outcomes and quality performance across different specialties and organizations. Used in measures for health processes such as cancer, stroke, dementia, chronic heart failure, post-acute care progress, rheumatoid arthritis, etc.</w:t>
            </w:r>
            <w:r w:rsidRPr="00B33D7C">
              <w:rPr>
                <w:rFonts w:ascii="Open Sans" w:hAnsi="Open Sans" w:cs="Open Sans"/>
                <w:color w:val="000000"/>
                <w:sz w:val="20"/>
                <w:szCs w:val="20"/>
              </w:rPr>
              <w:br/>
              <w:t>---- President’s Advisory Commission on Consumer Protection and Quality – noted importance of functional status information in 1998</w:t>
            </w:r>
            <w:r w:rsidRPr="00B33D7C">
              <w:rPr>
                <w:rFonts w:ascii="Open Sans" w:hAnsi="Open Sans" w:cs="Open Sans"/>
                <w:color w:val="000000"/>
                <w:sz w:val="20"/>
                <w:szCs w:val="20"/>
              </w:rPr>
              <w:br/>
              <w:t>---- Examples of use in clinical quality measure (CQMS):</w:t>
            </w:r>
            <w:r w:rsidRPr="00B33D7C">
              <w:rPr>
                <w:rFonts w:ascii="Open Sans" w:hAnsi="Open Sans" w:cs="Open Sans"/>
                <w:color w:val="000000"/>
                <w:sz w:val="20"/>
                <w:szCs w:val="20"/>
              </w:rPr>
              <w:br/>
            </w:r>
            <w:r w:rsidRPr="00B33D7C">
              <w:rPr>
                <w:rFonts w:ascii="Open Sans" w:hAnsi="Open Sans" w:cs="Open Sans"/>
                <w:color w:val="000000"/>
                <w:sz w:val="20"/>
                <w:szCs w:val="20"/>
              </w:rPr>
              <w:lastRenderedPageBreak/>
              <w:t>---------&gt; MIPS Quality ID #282: reporting on dementia patients whom had functional status assessments performed at least once in the last 12 months</w:t>
            </w:r>
            <w:r w:rsidRPr="00B33D7C">
              <w:rPr>
                <w:rFonts w:ascii="Open Sans" w:hAnsi="Open Sans" w:cs="Open Sans"/>
                <w:color w:val="000000"/>
                <w:sz w:val="20"/>
                <w:szCs w:val="20"/>
              </w:rPr>
              <w:br/>
              <w:t>---------&gt; MIPS Quality ID #178: reporting on patients with rheumatoid arthritis (RA) whom had functional status assessments performed at least once in the last 12 months</w:t>
            </w:r>
            <w:r w:rsidRPr="00B33D7C">
              <w:rPr>
                <w:rFonts w:ascii="Open Sans" w:hAnsi="Open Sans" w:cs="Open Sans"/>
                <w:color w:val="000000"/>
                <w:sz w:val="20"/>
                <w:szCs w:val="20"/>
              </w:rPr>
              <w:br/>
              <w:t xml:space="preserve">---------&gt; CMS Measure ID CMS56v8: reporting on patients who received elective primary total hip arthroplasty and completed functional status assessment both prior and </w:t>
            </w:r>
            <w:proofErr w:type="spellStart"/>
            <w:r w:rsidRPr="00B33D7C">
              <w:rPr>
                <w:rFonts w:ascii="Open Sans" w:hAnsi="Open Sans" w:cs="Open Sans"/>
                <w:color w:val="000000"/>
                <w:sz w:val="20"/>
                <w:szCs w:val="20"/>
              </w:rPr>
              <w:t>post surgery</w:t>
            </w:r>
            <w:proofErr w:type="spellEnd"/>
            <w:r w:rsidRPr="00B33D7C">
              <w:rPr>
                <w:rFonts w:ascii="Open Sans" w:hAnsi="Open Sans" w:cs="Open Sans"/>
                <w:color w:val="000000"/>
                <w:sz w:val="20"/>
                <w:szCs w:val="20"/>
              </w:rPr>
              <w:br/>
              <w:t xml:space="preserve">---------&gt; CMS Measure ID CMS66v8: reporting on primary total knee arthroplasty patients who received functional status assessments both prior and </w:t>
            </w:r>
            <w:proofErr w:type="spellStart"/>
            <w:r w:rsidRPr="00B33D7C">
              <w:rPr>
                <w:rFonts w:ascii="Open Sans" w:hAnsi="Open Sans" w:cs="Open Sans"/>
                <w:color w:val="000000"/>
                <w:sz w:val="20"/>
                <w:szCs w:val="20"/>
              </w:rPr>
              <w:t>post surgery</w:t>
            </w:r>
            <w:proofErr w:type="spellEnd"/>
            <w:r w:rsidRPr="00B33D7C">
              <w:rPr>
                <w:rFonts w:ascii="Open Sans" w:hAnsi="Open Sans" w:cs="Open Sans"/>
                <w:color w:val="000000"/>
                <w:sz w:val="20"/>
                <w:szCs w:val="20"/>
              </w:rPr>
              <w:br/>
            </w:r>
            <w:r w:rsidRPr="00B33D7C">
              <w:rPr>
                <w:rFonts w:ascii="Open Sans" w:hAnsi="Open Sans" w:cs="Open Sans"/>
                <w:color w:val="000000"/>
                <w:sz w:val="20"/>
                <w:szCs w:val="20"/>
              </w:rPr>
              <w:br/>
              <w:t>* Research</w:t>
            </w:r>
            <w:r w:rsidRPr="00B33D7C">
              <w:rPr>
                <w:rFonts w:ascii="Open Sans" w:hAnsi="Open Sans" w:cs="Open Sans"/>
                <w:color w:val="000000"/>
                <w:sz w:val="20"/>
                <w:szCs w:val="20"/>
              </w:rPr>
              <w:br/>
              <w:t>---- Functional status assessments are commonly used in research studies to correlate their predictive potential for monitoring patient outcomes. For instance, use of a functional status assessment like the modified Rankin scale (</w:t>
            </w:r>
            <w:proofErr w:type="spellStart"/>
            <w:r w:rsidRPr="00B33D7C">
              <w:rPr>
                <w:rFonts w:ascii="Open Sans" w:hAnsi="Open Sans" w:cs="Open Sans"/>
                <w:color w:val="000000"/>
                <w:sz w:val="20"/>
                <w:szCs w:val="20"/>
              </w:rPr>
              <w:t>mRS</w:t>
            </w:r>
            <w:proofErr w:type="spellEnd"/>
            <w:r w:rsidRPr="00B33D7C">
              <w:rPr>
                <w:rFonts w:ascii="Open Sans" w:hAnsi="Open Sans" w:cs="Open Sans"/>
                <w:color w:val="000000"/>
                <w:sz w:val="20"/>
                <w:szCs w:val="20"/>
              </w:rPr>
              <w:t xml:space="preserve">), whose validity and reliability in stroke patients has been shown through prior studies, then allows for use of </w:t>
            </w:r>
            <w:proofErr w:type="spellStart"/>
            <w:r w:rsidRPr="00B33D7C">
              <w:rPr>
                <w:rFonts w:ascii="Open Sans" w:hAnsi="Open Sans" w:cs="Open Sans"/>
                <w:color w:val="000000"/>
                <w:sz w:val="20"/>
                <w:szCs w:val="20"/>
              </w:rPr>
              <w:t>mRS</w:t>
            </w:r>
            <w:proofErr w:type="spellEnd"/>
            <w:r w:rsidRPr="00B33D7C">
              <w:rPr>
                <w:rFonts w:ascii="Open Sans" w:hAnsi="Open Sans" w:cs="Open Sans"/>
                <w:color w:val="000000"/>
                <w:sz w:val="20"/>
                <w:szCs w:val="20"/>
              </w:rPr>
              <w:t xml:space="preserve"> for assessing impact and outcomes of new stroke treatments.</w:t>
            </w:r>
            <w:r w:rsidRPr="00B33D7C">
              <w:rPr>
                <w:rFonts w:ascii="Open Sans" w:hAnsi="Open Sans" w:cs="Open Sans"/>
                <w:color w:val="000000"/>
                <w:sz w:val="20"/>
                <w:szCs w:val="20"/>
              </w:rPr>
              <w:br/>
            </w:r>
            <w:r w:rsidRPr="00B33D7C">
              <w:rPr>
                <w:rFonts w:ascii="Open Sans" w:hAnsi="Open Sans" w:cs="Open Sans"/>
                <w:color w:val="000000"/>
                <w:sz w:val="20"/>
                <w:szCs w:val="20"/>
              </w:rPr>
              <w:br/>
              <w:t>* Resource and financial management</w:t>
            </w:r>
            <w:r w:rsidRPr="00B33D7C">
              <w:rPr>
                <w:rFonts w:ascii="Open Sans" w:hAnsi="Open Sans" w:cs="Open Sans"/>
                <w:color w:val="000000"/>
                <w:sz w:val="20"/>
                <w:szCs w:val="20"/>
              </w:rPr>
              <w:br/>
              <w:t>---- Functional status assessments could be used for cost predictions, and for anticipating service and resource utilization</w:t>
            </w:r>
            <w:r w:rsidRPr="00B33D7C">
              <w:rPr>
                <w:rFonts w:ascii="Open Sans" w:hAnsi="Open Sans" w:cs="Open Sans"/>
                <w:color w:val="000000"/>
                <w:sz w:val="20"/>
                <w:szCs w:val="20"/>
              </w:rPr>
              <w:br/>
              <w:t>---- Payers could use this information to adjust payment levels and capitation rates</w:t>
            </w:r>
            <w:r w:rsidRPr="00B33D7C">
              <w:rPr>
                <w:rFonts w:ascii="Open Sans" w:hAnsi="Open Sans" w:cs="Open Sans"/>
                <w:color w:val="000000"/>
                <w:sz w:val="20"/>
                <w:szCs w:val="20"/>
              </w:rPr>
              <w:br/>
            </w:r>
            <w:r w:rsidRPr="00B33D7C">
              <w:rPr>
                <w:rFonts w:ascii="Open Sans" w:hAnsi="Open Sans" w:cs="Open Sans"/>
                <w:color w:val="000000"/>
                <w:sz w:val="20"/>
                <w:szCs w:val="20"/>
              </w:rPr>
              <w:br/>
              <w:t>The National Committee on Vital and Health Statistics (NCVHS) identified functional status assessment data in essential to healthcare, and asserted that it “should be included in patient records (computerized and otherwise) in the range of settings where care is provided.”</w:t>
            </w:r>
            <w:r w:rsidRPr="00B33D7C">
              <w:rPr>
                <w:rFonts w:ascii="Open Sans" w:hAnsi="Open Sans" w:cs="Open Sans"/>
                <w:color w:val="000000"/>
                <w:sz w:val="20"/>
                <w:szCs w:val="20"/>
              </w:rPr>
              <w:br/>
            </w:r>
            <w:r w:rsidRPr="00B33D7C">
              <w:rPr>
                <w:rFonts w:ascii="Open Sans" w:hAnsi="Open Sans" w:cs="Open Sans"/>
                <w:color w:val="000000"/>
                <w:sz w:val="20"/>
                <w:szCs w:val="20"/>
              </w:rPr>
              <w:br/>
              <w:t xml:space="preserve">Per the Centers for Medicare &amp; Medicaid Services (CMS), the Radiation Oncology (RO) Model will seek </w:t>
            </w:r>
            <w:r w:rsidRPr="00B33D7C">
              <w:rPr>
                <w:rFonts w:ascii="Open Sans" w:hAnsi="Open Sans" w:cs="Open Sans"/>
                <w:color w:val="000000"/>
                <w:sz w:val="20"/>
                <w:szCs w:val="20"/>
              </w:rPr>
              <w:lastRenderedPageBreak/>
              <w:t>to improve quality of care for cancer patient receiving radiation therapy by transition to a more streamlined and predictable reimbursement system, commencing January 1, 2022. Capability Maturity Model Integration (CMMI) is requiring certain clinical data elements (CDEs) as part of this mandatory RO model, with the ECOG functional status being proposed as one of these CDEs.</w:t>
            </w:r>
            <w:r w:rsidRPr="00B33D7C">
              <w:rPr>
                <w:rFonts w:ascii="Open Sans" w:hAnsi="Open Sans" w:cs="Open Sans"/>
                <w:color w:val="000000"/>
                <w:sz w:val="20"/>
                <w:szCs w:val="20"/>
              </w:rPr>
              <w:br/>
            </w:r>
            <w:r w:rsidRPr="00B33D7C">
              <w:rPr>
                <w:rFonts w:ascii="Open Sans" w:hAnsi="Open Sans" w:cs="Open Sans"/>
                <w:color w:val="000000"/>
                <w:sz w:val="20"/>
                <w:szCs w:val="20"/>
              </w:rPr>
              <w:br/>
              <w:t>LINKS:</w:t>
            </w:r>
            <w:r w:rsidRPr="00B33D7C">
              <w:rPr>
                <w:rFonts w:ascii="Open Sans" w:hAnsi="Open Sans" w:cs="Open Sans"/>
                <w:color w:val="000000"/>
                <w:sz w:val="20"/>
                <w:szCs w:val="20"/>
              </w:rPr>
              <w:br/>
            </w:r>
            <w:r w:rsidRPr="00B33D7C">
              <w:rPr>
                <w:rFonts w:ascii="Open Sans" w:hAnsi="Open Sans" w:cs="Open Sans"/>
                <w:color w:val="000000"/>
                <w:sz w:val="20"/>
                <w:szCs w:val="20"/>
              </w:rPr>
              <w:br/>
              <w:t>Use of functional status assessments in PACE program: </w:t>
            </w:r>
            <w:hyperlink r:id="rId5" w:tgtFrame="_blank" w:tooltip="https://www.ncqa.org/hedis/measures/hos/" w:history="1">
              <w:r w:rsidRPr="00B33D7C">
                <w:rPr>
                  <w:rFonts w:ascii="Open Sans" w:hAnsi="Open Sans" w:cs="Open Sans"/>
                  <w:color w:val="0D3868"/>
                  <w:sz w:val="20"/>
                  <w:szCs w:val="20"/>
                  <w:u w:val="single"/>
                </w:rPr>
                <w:t>https://www.ncqa.org/hedis/measures/hos/</w:t>
              </w:r>
            </w:hyperlink>
            <w:r w:rsidRPr="00B33D7C">
              <w:rPr>
                <w:rFonts w:ascii="Open Sans" w:hAnsi="Open Sans" w:cs="Open Sans"/>
                <w:color w:val="000000"/>
                <w:sz w:val="20"/>
                <w:szCs w:val="20"/>
              </w:rPr>
              <w:br/>
              <w:t>MIPS Quality ID #282: </w:t>
            </w:r>
            <w:hyperlink r:id="rId6" w:tgtFrame="_blank" w:tooltip="https://qpp.cms.gov/docs/QPP_quality_measure_specifications/CQM-Measures/2020_Measure_282_MIPSCQM_v4.1.pdf" w:history="1">
              <w:r w:rsidRPr="00B33D7C">
                <w:rPr>
                  <w:rFonts w:ascii="Open Sans" w:hAnsi="Open Sans" w:cs="Open Sans"/>
                  <w:color w:val="0D3868"/>
                  <w:sz w:val="20"/>
                  <w:szCs w:val="20"/>
                  <w:u w:val="single"/>
                </w:rPr>
                <w:t>https://qpp.cms.gov/docs/QPP_quality_measure_specifications/CQM-Measures/2020_Measure_282_MIPSCQM_v4.1.pdf</w:t>
              </w:r>
            </w:hyperlink>
            <w:r w:rsidRPr="00B33D7C">
              <w:rPr>
                <w:rFonts w:ascii="Open Sans" w:hAnsi="Open Sans" w:cs="Open Sans"/>
                <w:color w:val="000000"/>
                <w:sz w:val="20"/>
                <w:szCs w:val="20"/>
              </w:rPr>
              <w:br/>
              <w:t>MIPS Quality ID #178: </w:t>
            </w:r>
            <w:hyperlink r:id="rId7" w:tgtFrame="_blank" w:tooltip="https://qpp.cms.gov/docs/QPP_quality_measure_specifications/CQM-Measures/2020_Measure_178_MIPSCQM.pdf" w:history="1">
              <w:r w:rsidRPr="00B33D7C">
                <w:rPr>
                  <w:rFonts w:ascii="Open Sans" w:hAnsi="Open Sans" w:cs="Open Sans"/>
                  <w:color w:val="0D3868"/>
                  <w:sz w:val="20"/>
                  <w:szCs w:val="20"/>
                  <w:u w:val="single"/>
                </w:rPr>
                <w:t>https://qpp.cms.gov/docs/QPP_quality_measure_specifications/CQM-Measures/2020_Measure_178_MIPSCQM.pdf</w:t>
              </w:r>
            </w:hyperlink>
            <w:r w:rsidRPr="00B33D7C">
              <w:rPr>
                <w:rFonts w:ascii="Open Sans" w:hAnsi="Open Sans" w:cs="Open Sans"/>
                <w:color w:val="000000"/>
                <w:sz w:val="20"/>
                <w:szCs w:val="20"/>
              </w:rPr>
              <w:br/>
              <w:t>CMS Measure ID CMS56v8: </w:t>
            </w:r>
            <w:hyperlink r:id="rId8" w:tgtFrame="_blank" w:tooltip="https://ecqi.healthit.gov/ecqm/ep/2020/cms056v8" w:history="1">
              <w:r w:rsidRPr="00B33D7C">
                <w:rPr>
                  <w:rFonts w:ascii="Open Sans" w:hAnsi="Open Sans" w:cs="Open Sans"/>
                  <w:color w:val="0D3868"/>
                  <w:sz w:val="20"/>
                  <w:szCs w:val="20"/>
                  <w:u w:val="single"/>
                </w:rPr>
                <w:t>https://ecqi.healthit.gov/ecqm/ep/2020/cms056v8</w:t>
              </w:r>
            </w:hyperlink>
            <w:r w:rsidRPr="00B33D7C">
              <w:rPr>
                <w:rFonts w:ascii="Open Sans" w:hAnsi="Open Sans" w:cs="Open Sans"/>
                <w:color w:val="000000"/>
                <w:sz w:val="20"/>
                <w:szCs w:val="20"/>
              </w:rPr>
              <w:br/>
              <w:t>CMS Measure ID CMS66v8: </w:t>
            </w:r>
            <w:hyperlink r:id="rId9" w:tgtFrame="_blank" w:tooltip="https://ecqi.healthit.gov/ecqm/ep/2020/cms066v8" w:history="1">
              <w:r w:rsidRPr="00B33D7C">
                <w:rPr>
                  <w:rFonts w:ascii="Open Sans" w:hAnsi="Open Sans" w:cs="Open Sans"/>
                  <w:color w:val="0D3868"/>
                  <w:sz w:val="20"/>
                  <w:szCs w:val="20"/>
                  <w:u w:val="single"/>
                </w:rPr>
                <w:t>https://ecqi.healthit.gov/ecqm/ep/2020/cms066v8</w:t>
              </w:r>
            </w:hyperlink>
            <w:r w:rsidRPr="00B33D7C">
              <w:rPr>
                <w:rFonts w:ascii="Open Sans" w:hAnsi="Open Sans" w:cs="Open Sans"/>
                <w:color w:val="000000"/>
                <w:sz w:val="20"/>
                <w:szCs w:val="20"/>
              </w:rPr>
              <w:br/>
              <w:t>NCVHS reference: </w:t>
            </w:r>
            <w:hyperlink r:id="rId10" w:tgtFrame="_blank" w:tooltip="https://www.ncvhs.hhs.gov/wp-content/uploads/2017/08/010617rp.pdf" w:history="1">
              <w:r w:rsidRPr="00B33D7C">
                <w:rPr>
                  <w:rFonts w:ascii="Open Sans" w:hAnsi="Open Sans" w:cs="Open Sans"/>
                  <w:color w:val="0D3868"/>
                  <w:sz w:val="20"/>
                  <w:szCs w:val="20"/>
                  <w:u w:val="single"/>
                </w:rPr>
                <w:t>https://www.ncvhs.hhs.gov/wp-content/uploads/2017/08/010617rp.pdf</w:t>
              </w:r>
            </w:hyperlink>
            <w:r w:rsidRPr="00B33D7C">
              <w:rPr>
                <w:rFonts w:ascii="Open Sans" w:hAnsi="Open Sans" w:cs="Open Sans"/>
                <w:color w:val="000000"/>
                <w:sz w:val="20"/>
                <w:szCs w:val="20"/>
              </w:rPr>
              <w:br/>
              <w:t>CMS RO model, where ECOG functional status proposed as a clinical data element: </w:t>
            </w:r>
            <w:hyperlink r:id="rId11" w:tgtFrame="_blank" w:tooltip="https://innovation.cms.gov/media/document/ro-clin-data-elements-rfi-v2" w:history="1">
              <w:r w:rsidRPr="00B33D7C">
                <w:rPr>
                  <w:rFonts w:ascii="Open Sans" w:hAnsi="Open Sans" w:cs="Open Sans"/>
                  <w:color w:val="0D3868"/>
                  <w:sz w:val="20"/>
                  <w:szCs w:val="20"/>
                  <w:u w:val="single"/>
                </w:rPr>
                <w:t>https://innovation.cms.gov/media/document/ro-clin-data-elements-rfi-v2</w:t>
              </w:r>
            </w:hyperlink>
          </w:p>
        </w:tc>
      </w:tr>
      <w:tr w:rsidR="00B33D7C" w:rsidRPr="00B33D7C" w14:paraId="46B9F596"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202B2442" w14:textId="77777777" w:rsidR="00B33D7C" w:rsidRPr="00B33D7C" w:rsidRDefault="00B33D7C" w:rsidP="00B33D7C">
            <w:pPr>
              <w:spacing w:before="180" w:after="480"/>
              <w:rPr>
                <w:rFonts w:ascii="Open Sans" w:hAnsi="Open Sans" w:cs="Open Sans"/>
                <w:color w:val="000000"/>
                <w:sz w:val="20"/>
                <w:szCs w:val="20"/>
              </w:rPr>
            </w:pPr>
            <w:r w:rsidRPr="00B33D7C">
              <w:rPr>
                <w:rFonts w:ascii="Open Sans" w:hAnsi="Open Sans" w:cs="Open Sans"/>
                <w:color w:val="000000"/>
                <w:sz w:val="20"/>
                <w:szCs w:val="20"/>
              </w:rPr>
              <w:lastRenderedPageBreak/>
              <w:t>Estimated number of stakeholders capturing, accessing using or exchanging</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321ABC63" w14:textId="77777777" w:rsidR="00B33D7C" w:rsidRPr="00B33D7C" w:rsidRDefault="00B33D7C" w:rsidP="00B33D7C">
            <w:pPr>
              <w:spacing w:before="180" w:after="480" w:line="360" w:lineRule="atLeast"/>
              <w:rPr>
                <w:rFonts w:ascii="Open Sans" w:hAnsi="Open Sans" w:cs="Open Sans"/>
                <w:color w:val="000000"/>
                <w:sz w:val="20"/>
                <w:szCs w:val="20"/>
              </w:rPr>
            </w:pPr>
            <w:r w:rsidRPr="00B33D7C">
              <w:rPr>
                <w:rFonts w:ascii="Open Sans" w:hAnsi="Open Sans" w:cs="Open Sans"/>
                <w:color w:val="000000"/>
                <w:sz w:val="20"/>
                <w:szCs w:val="20"/>
              </w:rPr>
              <w:t>Many Americans are affected by disease processes where clinical functional assessments play vital roles.</w:t>
            </w:r>
            <w:r w:rsidRPr="00B33D7C">
              <w:rPr>
                <w:rFonts w:ascii="Open Sans" w:hAnsi="Open Sans" w:cs="Open Sans"/>
                <w:color w:val="000000"/>
                <w:sz w:val="20"/>
                <w:szCs w:val="20"/>
              </w:rPr>
              <w:br/>
            </w:r>
            <w:r w:rsidRPr="00B33D7C">
              <w:rPr>
                <w:rFonts w:ascii="Open Sans" w:hAnsi="Open Sans" w:cs="Open Sans"/>
                <w:color w:val="000000"/>
                <w:sz w:val="20"/>
                <w:szCs w:val="20"/>
              </w:rPr>
              <w:br/>
              <w:t xml:space="preserve">As noted above, the IMPACT Act requires standardization and interoperability of patient assessment for post-acute care (PAC) settings. Thus, stakeholder needing a USCDI functional status assessment for </w:t>
            </w:r>
            <w:r w:rsidRPr="00B33D7C">
              <w:rPr>
                <w:rFonts w:ascii="Open Sans" w:hAnsi="Open Sans" w:cs="Open Sans"/>
                <w:color w:val="000000"/>
                <w:sz w:val="20"/>
                <w:szCs w:val="20"/>
              </w:rPr>
              <w:lastRenderedPageBreak/>
              <w:t>data sharing would include PAC facilities like the following:</w:t>
            </w:r>
            <w:r w:rsidRPr="00B33D7C">
              <w:rPr>
                <w:rFonts w:ascii="Open Sans" w:hAnsi="Open Sans" w:cs="Open Sans"/>
                <w:color w:val="000000"/>
                <w:sz w:val="20"/>
                <w:szCs w:val="20"/>
              </w:rPr>
              <w:br/>
              <w:t>* long-term care hospitals (LTCHs)</w:t>
            </w:r>
            <w:r w:rsidRPr="00B33D7C">
              <w:rPr>
                <w:rFonts w:ascii="Open Sans" w:hAnsi="Open Sans" w:cs="Open Sans"/>
                <w:color w:val="000000"/>
                <w:sz w:val="20"/>
                <w:szCs w:val="20"/>
              </w:rPr>
              <w:br/>
              <w:t>* home health agencies (HHAs)</w:t>
            </w:r>
            <w:r w:rsidRPr="00B33D7C">
              <w:rPr>
                <w:rFonts w:ascii="Open Sans" w:hAnsi="Open Sans" w:cs="Open Sans"/>
                <w:color w:val="000000"/>
                <w:sz w:val="20"/>
                <w:szCs w:val="20"/>
              </w:rPr>
              <w:br/>
              <w:t>* skilled nursing facilities (SNFs)</w:t>
            </w:r>
            <w:r w:rsidRPr="00B33D7C">
              <w:rPr>
                <w:rFonts w:ascii="Open Sans" w:hAnsi="Open Sans" w:cs="Open Sans"/>
                <w:color w:val="000000"/>
                <w:sz w:val="20"/>
                <w:szCs w:val="20"/>
              </w:rPr>
              <w:br/>
              <w:t>* inpatient rehabilitation facilities (IRFs)</w:t>
            </w:r>
            <w:r w:rsidRPr="00B33D7C">
              <w:rPr>
                <w:rFonts w:ascii="Open Sans" w:hAnsi="Open Sans" w:cs="Open Sans"/>
                <w:color w:val="000000"/>
                <w:sz w:val="20"/>
                <w:szCs w:val="20"/>
              </w:rPr>
              <w:br/>
            </w:r>
            <w:r w:rsidRPr="00B33D7C">
              <w:rPr>
                <w:rFonts w:ascii="Open Sans" w:hAnsi="Open Sans" w:cs="Open Sans"/>
                <w:color w:val="000000"/>
                <w:sz w:val="20"/>
                <w:szCs w:val="20"/>
              </w:rPr>
              <w:br/>
              <w:t>Clinical functional assessments are frequently used in oncology to gauge to assess patient tolerance for certain therapies, estimating prognosis, and for monitoring disease progression. Per the American Cancer Society (ACS), about 1.8 million new cancer diagnoses were made in 2020. In 2019, there were an estimated 16.9 million cancer survivors living in the United States.</w:t>
            </w:r>
            <w:r w:rsidRPr="00B33D7C">
              <w:rPr>
                <w:rFonts w:ascii="Open Sans" w:hAnsi="Open Sans" w:cs="Open Sans"/>
                <w:color w:val="000000"/>
                <w:sz w:val="20"/>
                <w:szCs w:val="20"/>
              </w:rPr>
              <w:br/>
            </w:r>
            <w:r w:rsidRPr="00B33D7C">
              <w:rPr>
                <w:rFonts w:ascii="Open Sans" w:hAnsi="Open Sans" w:cs="Open Sans"/>
                <w:color w:val="000000"/>
                <w:sz w:val="20"/>
                <w:szCs w:val="20"/>
              </w:rPr>
              <w:br/>
              <w:t>Functional assessments are also used frequently for monitoring the effects of aging in geriatrics. These assessments are employed for tracking and managing dementia or other diseases as well.</w:t>
            </w:r>
            <w:r w:rsidRPr="00B33D7C">
              <w:rPr>
                <w:rFonts w:ascii="Open Sans" w:hAnsi="Open Sans" w:cs="Open Sans"/>
                <w:color w:val="000000"/>
                <w:sz w:val="20"/>
                <w:szCs w:val="20"/>
              </w:rPr>
              <w:br/>
            </w:r>
            <w:r w:rsidRPr="00B33D7C">
              <w:rPr>
                <w:rFonts w:ascii="Open Sans" w:hAnsi="Open Sans" w:cs="Open Sans"/>
                <w:color w:val="000000"/>
                <w:sz w:val="20"/>
                <w:szCs w:val="20"/>
              </w:rPr>
              <w:br/>
              <w:t>Per the CDC:</w:t>
            </w:r>
            <w:r w:rsidRPr="00B33D7C">
              <w:rPr>
                <w:rFonts w:ascii="Open Sans" w:hAnsi="Open Sans" w:cs="Open Sans"/>
                <w:color w:val="000000"/>
                <w:sz w:val="20"/>
                <w:szCs w:val="20"/>
              </w:rPr>
              <w:br/>
              <w:t>* In 2016, 49 million US adults were 65 years of age or older, representing 15% of the population. That percentage is expected to increase to 25% around 2060.</w:t>
            </w:r>
            <w:r w:rsidRPr="00B33D7C">
              <w:rPr>
                <w:rFonts w:ascii="Open Sans" w:hAnsi="Open Sans" w:cs="Open Sans"/>
                <w:color w:val="000000"/>
                <w:sz w:val="20"/>
                <w:szCs w:val="20"/>
              </w:rPr>
              <w:br/>
              <w:t>* 22.2% of noninstitutionalized persons aged 65 and older in fair or poor health (2018)</w:t>
            </w:r>
            <w:r w:rsidRPr="00B33D7C">
              <w:rPr>
                <w:rFonts w:ascii="Open Sans" w:hAnsi="Open Sans" w:cs="Open Sans"/>
                <w:color w:val="000000"/>
                <w:sz w:val="20"/>
                <w:szCs w:val="20"/>
              </w:rPr>
              <w:br/>
              <w:t>* 7% of noninstitutionalized Americans 65 years and older need help with personal care from other persons (2018)</w:t>
            </w:r>
            <w:r w:rsidRPr="00B33D7C">
              <w:rPr>
                <w:rFonts w:ascii="Open Sans" w:hAnsi="Open Sans" w:cs="Open Sans"/>
                <w:color w:val="000000"/>
                <w:sz w:val="20"/>
                <w:szCs w:val="20"/>
              </w:rPr>
              <w:br/>
              <w:t>* In 2014, about 5.8 million adults at least 65 years and older had dementia.</w:t>
            </w:r>
            <w:r w:rsidRPr="00B33D7C">
              <w:rPr>
                <w:rFonts w:ascii="Open Sans" w:hAnsi="Open Sans" w:cs="Open Sans"/>
                <w:color w:val="000000"/>
                <w:sz w:val="20"/>
                <w:szCs w:val="20"/>
              </w:rPr>
              <w:br/>
            </w:r>
            <w:r w:rsidRPr="00B33D7C">
              <w:rPr>
                <w:rFonts w:ascii="Open Sans" w:hAnsi="Open Sans" w:cs="Open Sans"/>
                <w:color w:val="000000"/>
                <w:sz w:val="20"/>
                <w:szCs w:val="20"/>
              </w:rPr>
              <w:br/>
              <w:t>Other patients whose care can be impacted by functional status includes, but is not limited to, those with heart failure, stroke, rheumatoid arthritis, disability, and recent surgery.</w:t>
            </w:r>
            <w:r w:rsidRPr="00B33D7C">
              <w:rPr>
                <w:rFonts w:ascii="Open Sans" w:hAnsi="Open Sans" w:cs="Open Sans"/>
                <w:color w:val="000000"/>
                <w:sz w:val="20"/>
                <w:szCs w:val="20"/>
              </w:rPr>
              <w:br/>
            </w:r>
            <w:r w:rsidRPr="00B33D7C">
              <w:rPr>
                <w:rFonts w:ascii="Open Sans" w:hAnsi="Open Sans" w:cs="Open Sans"/>
                <w:color w:val="000000"/>
                <w:sz w:val="20"/>
                <w:szCs w:val="20"/>
              </w:rPr>
              <w:br/>
            </w:r>
            <w:r w:rsidRPr="00B33D7C">
              <w:rPr>
                <w:rFonts w:ascii="Open Sans" w:hAnsi="Open Sans" w:cs="Open Sans"/>
                <w:color w:val="000000"/>
                <w:sz w:val="20"/>
                <w:szCs w:val="20"/>
              </w:rPr>
              <w:lastRenderedPageBreak/>
              <w:t>Other stakeholders include:</w:t>
            </w:r>
            <w:r w:rsidRPr="00B33D7C">
              <w:rPr>
                <w:rFonts w:ascii="Open Sans" w:hAnsi="Open Sans" w:cs="Open Sans"/>
                <w:color w:val="000000"/>
                <w:sz w:val="20"/>
                <w:szCs w:val="20"/>
              </w:rPr>
              <w:br/>
              <w:t>* CMS: Centers for Medicare &amp; Medicaid Services uses clinical functional status for quality measures as noted above</w:t>
            </w:r>
            <w:r w:rsidRPr="00B33D7C">
              <w:rPr>
                <w:rFonts w:ascii="Open Sans" w:hAnsi="Open Sans" w:cs="Open Sans"/>
                <w:color w:val="000000"/>
                <w:sz w:val="20"/>
                <w:szCs w:val="20"/>
              </w:rPr>
              <w:br/>
              <w:t>* Joint Commission requires documentation of clinical functional assessments as part of its requirements to certify comprehensive stroke centers, and for doing advanced certification for total hip &amp; knee replacement (THKR) programs. Thus, any groups seeking these certifications would also be considered stakeholders.</w:t>
            </w:r>
            <w:r w:rsidRPr="00B33D7C">
              <w:rPr>
                <w:rFonts w:ascii="Open Sans" w:hAnsi="Open Sans" w:cs="Open Sans"/>
                <w:color w:val="000000"/>
                <w:sz w:val="20"/>
                <w:szCs w:val="20"/>
              </w:rPr>
              <w:br/>
              <w:t>* Medical Specialty Groups:</w:t>
            </w:r>
            <w:r w:rsidRPr="00B33D7C">
              <w:rPr>
                <w:rFonts w:ascii="Open Sans" w:hAnsi="Open Sans" w:cs="Open Sans"/>
                <w:color w:val="000000"/>
                <w:sz w:val="20"/>
                <w:szCs w:val="20"/>
              </w:rPr>
              <w:br/>
              <w:t>---- American Speech, Language and Hearing Association</w:t>
            </w:r>
            <w:r w:rsidRPr="00B33D7C">
              <w:rPr>
                <w:rFonts w:ascii="Open Sans" w:hAnsi="Open Sans" w:cs="Open Sans"/>
                <w:color w:val="000000"/>
                <w:sz w:val="20"/>
                <w:szCs w:val="20"/>
              </w:rPr>
              <w:br/>
              <w:t>---- American Occupational Therapy Association</w:t>
            </w:r>
            <w:r w:rsidRPr="00B33D7C">
              <w:rPr>
                <w:rFonts w:ascii="Open Sans" w:hAnsi="Open Sans" w:cs="Open Sans"/>
                <w:color w:val="000000"/>
                <w:sz w:val="20"/>
                <w:szCs w:val="20"/>
              </w:rPr>
              <w:br/>
              <w:t>---- American Psychological Association</w:t>
            </w:r>
            <w:r w:rsidRPr="00B33D7C">
              <w:rPr>
                <w:rFonts w:ascii="Open Sans" w:hAnsi="Open Sans" w:cs="Open Sans"/>
                <w:color w:val="000000"/>
                <w:sz w:val="20"/>
                <w:szCs w:val="20"/>
              </w:rPr>
              <w:br/>
              <w:t>---- American Physical Therapy Association</w:t>
            </w:r>
            <w:r w:rsidRPr="00B33D7C">
              <w:rPr>
                <w:rFonts w:ascii="Open Sans" w:hAnsi="Open Sans" w:cs="Open Sans"/>
                <w:color w:val="000000"/>
                <w:sz w:val="20"/>
                <w:szCs w:val="20"/>
              </w:rPr>
              <w:br/>
              <w:t>---- American College of Occupational and Environmental Medicine</w:t>
            </w:r>
            <w:r w:rsidRPr="00B33D7C">
              <w:rPr>
                <w:rFonts w:ascii="Open Sans" w:hAnsi="Open Sans" w:cs="Open Sans"/>
                <w:color w:val="000000"/>
                <w:sz w:val="20"/>
                <w:szCs w:val="20"/>
              </w:rPr>
              <w:br/>
              <w:t>---- Eastern Cooperative Oncology Group</w:t>
            </w:r>
            <w:r w:rsidRPr="00B33D7C">
              <w:rPr>
                <w:rFonts w:ascii="Open Sans" w:hAnsi="Open Sans" w:cs="Open Sans"/>
                <w:color w:val="000000"/>
                <w:sz w:val="20"/>
                <w:szCs w:val="20"/>
              </w:rPr>
              <w:br/>
              <w:t>---- American Society of Clinical Oncology</w:t>
            </w:r>
            <w:r w:rsidRPr="00B33D7C">
              <w:rPr>
                <w:rFonts w:ascii="Open Sans" w:hAnsi="Open Sans" w:cs="Open Sans"/>
                <w:color w:val="000000"/>
                <w:sz w:val="20"/>
                <w:szCs w:val="20"/>
              </w:rPr>
              <w:br/>
              <w:t>---- American Society for Radiation Oncology</w:t>
            </w:r>
            <w:r w:rsidRPr="00B33D7C">
              <w:rPr>
                <w:rFonts w:ascii="Open Sans" w:hAnsi="Open Sans" w:cs="Open Sans"/>
                <w:color w:val="000000"/>
                <w:sz w:val="20"/>
                <w:szCs w:val="20"/>
              </w:rPr>
              <w:br/>
            </w:r>
            <w:r w:rsidRPr="00B33D7C">
              <w:rPr>
                <w:rFonts w:ascii="Open Sans" w:hAnsi="Open Sans" w:cs="Open Sans"/>
                <w:color w:val="000000"/>
                <w:sz w:val="20"/>
                <w:szCs w:val="20"/>
              </w:rPr>
              <w:br/>
              <w:t>*Note that other USCDI submissions under the “Functioning” category (</w:t>
            </w:r>
            <w:hyperlink r:id="rId12" w:tgtFrame="_blank" w:tooltip="https://www.healthit.gov/isa/uscdi-data-class/functioning" w:history="1">
              <w:r w:rsidRPr="00B33D7C">
                <w:rPr>
                  <w:rFonts w:ascii="Open Sans" w:hAnsi="Open Sans" w:cs="Open Sans"/>
                  <w:color w:val="0D3868"/>
                  <w:sz w:val="20"/>
                  <w:szCs w:val="20"/>
                  <w:u w:val="single"/>
                </w:rPr>
                <w:t>https://www.healthit.gov/isa/uscdi-data-class/functioning</w:t>
              </w:r>
            </w:hyperlink>
            <w:r w:rsidRPr="00B33D7C">
              <w:rPr>
                <w:rFonts w:ascii="Open Sans" w:hAnsi="Open Sans" w:cs="Open Sans"/>
                <w:color w:val="000000"/>
                <w:sz w:val="20"/>
                <w:szCs w:val="20"/>
              </w:rPr>
              <w:t>) are also testimony to the growing need for a clinical functional status assessment data element.</w:t>
            </w:r>
            <w:r w:rsidRPr="00B33D7C">
              <w:rPr>
                <w:rFonts w:ascii="Open Sans" w:hAnsi="Open Sans" w:cs="Open Sans"/>
                <w:color w:val="000000"/>
                <w:sz w:val="20"/>
                <w:szCs w:val="20"/>
              </w:rPr>
              <w:br/>
            </w:r>
            <w:r w:rsidRPr="00B33D7C">
              <w:rPr>
                <w:rFonts w:ascii="Open Sans" w:hAnsi="Open Sans" w:cs="Open Sans"/>
                <w:color w:val="000000"/>
                <w:sz w:val="20"/>
                <w:szCs w:val="20"/>
              </w:rPr>
              <w:br/>
              <w:t>This submission is made on behalf of</w:t>
            </w:r>
            <w:r w:rsidRPr="00B33D7C">
              <w:rPr>
                <w:rFonts w:ascii="Arial" w:hAnsi="Arial" w:cs="Arial"/>
                <w:color w:val="000000"/>
                <w:sz w:val="20"/>
                <w:szCs w:val="20"/>
              </w:rPr>
              <w:t> </w:t>
            </w:r>
            <w:r w:rsidRPr="00B33D7C">
              <w:rPr>
                <w:rFonts w:ascii="Open Sans" w:hAnsi="Open Sans" w:cs="Open Sans"/>
                <w:color w:val="000000"/>
                <w:sz w:val="20"/>
                <w:szCs w:val="20"/>
              </w:rPr>
              <w:t>CodeX</w:t>
            </w:r>
            <w:r w:rsidRPr="00B33D7C">
              <w:rPr>
                <w:rFonts w:ascii="Arial" w:hAnsi="Arial" w:cs="Arial"/>
                <w:color w:val="000000"/>
                <w:sz w:val="20"/>
                <w:szCs w:val="20"/>
              </w:rPr>
              <w:t> </w:t>
            </w:r>
            <w:r w:rsidRPr="00B33D7C">
              <w:rPr>
                <w:rFonts w:ascii="Open Sans" w:hAnsi="Open Sans" w:cs="Open Sans"/>
                <w:color w:val="000000"/>
                <w:sz w:val="20"/>
                <w:szCs w:val="20"/>
              </w:rPr>
              <w:t>(Common</w:t>
            </w:r>
            <w:r w:rsidRPr="00B33D7C">
              <w:rPr>
                <w:rFonts w:ascii="Arial" w:hAnsi="Arial" w:cs="Arial"/>
                <w:color w:val="000000"/>
                <w:sz w:val="20"/>
                <w:szCs w:val="20"/>
              </w:rPr>
              <w:t> </w:t>
            </w:r>
            <w:r w:rsidRPr="00B33D7C">
              <w:rPr>
                <w:rFonts w:ascii="Open Sans" w:hAnsi="Open Sans" w:cs="Open Sans"/>
                <w:color w:val="000000"/>
                <w:sz w:val="20"/>
                <w:szCs w:val="20"/>
              </w:rPr>
              <w:t>Oncology</w:t>
            </w:r>
            <w:r w:rsidRPr="00B33D7C">
              <w:rPr>
                <w:rFonts w:ascii="Arial" w:hAnsi="Arial" w:cs="Arial"/>
                <w:color w:val="000000"/>
                <w:sz w:val="20"/>
                <w:szCs w:val="20"/>
              </w:rPr>
              <w:t> </w:t>
            </w:r>
            <w:r w:rsidRPr="00B33D7C">
              <w:rPr>
                <w:rFonts w:ascii="Open Sans" w:hAnsi="Open Sans" w:cs="Open Sans"/>
                <w:color w:val="000000"/>
                <w:sz w:val="20"/>
                <w:szCs w:val="20"/>
              </w:rPr>
              <w:t>Data</w:t>
            </w:r>
            <w:r w:rsidRPr="00B33D7C">
              <w:rPr>
                <w:rFonts w:ascii="Arial" w:hAnsi="Arial" w:cs="Arial"/>
                <w:color w:val="000000"/>
                <w:sz w:val="20"/>
                <w:szCs w:val="20"/>
              </w:rPr>
              <w:t> </w:t>
            </w:r>
            <w:r w:rsidRPr="00B33D7C">
              <w:rPr>
                <w:rFonts w:ascii="Open Sans" w:hAnsi="Open Sans" w:cs="Open Sans"/>
                <w:color w:val="000000"/>
                <w:sz w:val="20"/>
                <w:szCs w:val="20"/>
              </w:rPr>
              <w:t xml:space="preserve">Elements </w:t>
            </w:r>
            <w:proofErr w:type="spellStart"/>
            <w:r w:rsidRPr="00B33D7C">
              <w:rPr>
                <w:rFonts w:ascii="Open Sans" w:hAnsi="Open Sans" w:cs="Open Sans"/>
                <w:color w:val="000000"/>
                <w:sz w:val="20"/>
                <w:szCs w:val="20"/>
              </w:rPr>
              <w:t>eXtensions</w:t>
            </w:r>
            <w:proofErr w:type="spellEnd"/>
            <w:r w:rsidRPr="00B33D7C">
              <w:rPr>
                <w:rFonts w:ascii="Open Sans" w:hAnsi="Open Sans" w:cs="Open Sans"/>
                <w:color w:val="000000"/>
                <w:sz w:val="20"/>
                <w:szCs w:val="20"/>
              </w:rPr>
              <w:t>), a member-driven HL7 FHIR Accelerator community of professional medical societies, health systems, industry and others seeking to achieve interoperability via the</w:t>
            </w:r>
            <w:r w:rsidRPr="00B33D7C">
              <w:rPr>
                <w:rFonts w:ascii="Arial" w:hAnsi="Arial" w:cs="Arial"/>
                <w:color w:val="000000"/>
                <w:sz w:val="20"/>
                <w:szCs w:val="20"/>
              </w:rPr>
              <w:t> </w:t>
            </w:r>
            <w:r w:rsidRPr="00B33D7C">
              <w:rPr>
                <w:rFonts w:ascii="Open Sans" w:hAnsi="Open Sans" w:cs="Open Sans"/>
                <w:color w:val="000000"/>
                <w:sz w:val="20"/>
                <w:szCs w:val="20"/>
              </w:rPr>
              <w:t>mCODE</w:t>
            </w:r>
            <w:r w:rsidRPr="00B33D7C">
              <w:rPr>
                <w:rFonts w:ascii="Arial" w:hAnsi="Arial" w:cs="Arial"/>
                <w:color w:val="000000"/>
                <w:sz w:val="20"/>
                <w:szCs w:val="20"/>
              </w:rPr>
              <w:t> </w:t>
            </w:r>
            <w:r w:rsidRPr="00B33D7C">
              <w:rPr>
                <w:rFonts w:ascii="Open Sans" w:hAnsi="Open Sans" w:cs="Open Sans"/>
                <w:color w:val="000000"/>
                <w:sz w:val="20"/>
                <w:szCs w:val="20"/>
              </w:rPr>
              <w:t>(minimal</w:t>
            </w:r>
            <w:r w:rsidRPr="00B33D7C">
              <w:rPr>
                <w:rFonts w:ascii="Arial" w:hAnsi="Arial" w:cs="Arial"/>
                <w:color w:val="000000"/>
                <w:sz w:val="20"/>
                <w:szCs w:val="20"/>
              </w:rPr>
              <w:t> </w:t>
            </w:r>
            <w:r w:rsidRPr="00B33D7C">
              <w:rPr>
                <w:rFonts w:ascii="Open Sans" w:hAnsi="Open Sans" w:cs="Open Sans"/>
                <w:color w:val="000000"/>
                <w:sz w:val="20"/>
                <w:szCs w:val="20"/>
              </w:rPr>
              <w:t>Common</w:t>
            </w:r>
            <w:r w:rsidRPr="00B33D7C">
              <w:rPr>
                <w:rFonts w:ascii="Arial" w:hAnsi="Arial" w:cs="Arial"/>
                <w:color w:val="000000"/>
                <w:sz w:val="20"/>
                <w:szCs w:val="20"/>
              </w:rPr>
              <w:t> </w:t>
            </w:r>
            <w:r w:rsidRPr="00B33D7C">
              <w:rPr>
                <w:rFonts w:ascii="Open Sans" w:hAnsi="Open Sans" w:cs="Open Sans"/>
                <w:color w:val="000000"/>
                <w:sz w:val="20"/>
                <w:szCs w:val="20"/>
              </w:rPr>
              <w:t>Oncology</w:t>
            </w:r>
            <w:r w:rsidRPr="00B33D7C">
              <w:rPr>
                <w:rFonts w:ascii="Arial" w:hAnsi="Arial" w:cs="Arial"/>
                <w:color w:val="000000"/>
                <w:sz w:val="20"/>
                <w:szCs w:val="20"/>
              </w:rPr>
              <w:t> </w:t>
            </w:r>
            <w:r w:rsidRPr="00B33D7C">
              <w:rPr>
                <w:rFonts w:ascii="Open Sans" w:hAnsi="Open Sans" w:cs="Open Sans"/>
                <w:color w:val="000000"/>
                <w:sz w:val="20"/>
                <w:szCs w:val="20"/>
              </w:rPr>
              <w:t>Data</w:t>
            </w:r>
            <w:r w:rsidRPr="00B33D7C">
              <w:rPr>
                <w:rFonts w:ascii="Arial" w:hAnsi="Arial" w:cs="Arial"/>
                <w:color w:val="000000"/>
                <w:sz w:val="20"/>
                <w:szCs w:val="20"/>
              </w:rPr>
              <w:t> </w:t>
            </w:r>
            <w:r w:rsidRPr="00B33D7C">
              <w:rPr>
                <w:rFonts w:ascii="Open Sans" w:hAnsi="Open Sans" w:cs="Open Sans"/>
                <w:color w:val="000000"/>
                <w:sz w:val="20"/>
                <w:szCs w:val="20"/>
              </w:rPr>
              <w:t xml:space="preserve">Elements) standard in order to drive step-change </w:t>
            </w:r>
            <w:r w:rsidRPr="00B33D7C">
              <w:rPr>
                <w:rFonts w:ascii="Open Sans" w:hAnsi="Open Sans" w:cs="Open Sans"/>
                <w:color w:val="000000"/>
                <w:sz w:val="20"/>
                <w:szCs w:val="20"/>
              </w:rPr>
              <w:lastRenderedPageBreak/>
              <w:t>improvements in cancer patient care and research.</w:t>
            </w:r>
            <w:r w:rsidRPr="00B33D7C">
              <w:rPr>
                <w:rFonts w:ascii="Open Sans" w:hAnsi="Open Sans" w:cs="Open Sans"/>
                <w:color w:val="000000"/>
                <w:sz w:val="20"/>
                <w:szCs w:val="20"/>
              </w:rPr>
              <w:br/>
            </w:r>
            <w:hyperlink r:id="rId13" w:tgtFrame="_blank" w:tooltip="https://confluence.hl7.org/display/COD/CodeX+Home" w:history="1">
              <w:r w:rsidRPr="00B33D7C">
                <w:rPr>
                  <w:rFonts w:ascii="Open Sans" w:hAnsi="Open Sans" w:cs="Open Sans"/>
                  <w:color w:val="0D3868"/>
                  <w:sz w:val="20"/>
                  <w:szCs w:val="20"/>
                  <w:u w:val="single"/>
                </w:rPr>
                <w:t>https://confluence.hl7.org/display/COD/CodeX+Home</w:t>
              </w:r>
            </w:hyperlink>
          </w:p>
        </w:tc>
      </w:tr>
      <w:tr w:rsidR="00B33D7C" w:rsidRPr="00B33D7C" w14:paraId="259415CC"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670F4A3D" w14:textId="77777777" w:rsidR="00B33D7C" w:rsidRPr="00B33D7C" w:rsidRDefault="00B33D7C" w:rsidP="00B33D7C">
            <w:pPr>
              <w:spacing w:before="180" w:after="480"/>
              <w:rPr>
                <w:rFonts w:ascii="Open Sans" w:hAnsi="Open Sans" w:cs="Open Sans"/>
                <w:color w:val="000000"/>
                <w:sz w:val="20"/>
                <w:szCs w:val="20"/>
              </w:rPr>
            </w:pPr>
            <w:r w:rsidRPr="00B33D7C">
              <w:rPr>
                <w:rFonts w:ascii="Open Sans" w:hAnsi="Open Sans" w:cs="Open Sans"/>
                <w:color w:val="000000"/>
                <w:sz w:val="20"/>
                <w:szCs w:val="20"/>
              </w:rPr>
              <w:lastRenderedPageBreak/>
              <w:t>Link to use case project page</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50A002B1" w14:textId="77777777" w:rsidR="00B33D7C" w:rsidRPr="00B33D7C" w:rsidRDefault="00B33D7C" w:rsidP="00B33D7C">
            <w:pPr>
              <w:spacing w:before="180" w:after="480" w:line="360" w:lineRule="atLeast"/>
              <w:rPr>
                <w:rFonts w:ascii="Open Sans" w:hAnsi="Open Sans" w:cs="Open Sans"/>
                <w:color w:val="000000"/>
                <w:sz w:val="20"/>
                <w:szCs w:val="20"/>
              </w:rPr>
            </w:pPr>
            <w:hyperlink r:id="rId14" w:history="1">
              <w:r w:rsidRPr="00B33D7C">
                <w:rPr>
                  <w:rFonts w:ascii="Open Sans" w:hAnsi="Open Sans" w:cs="Open Sans"/>
                  <w:color w:val="0D3868"/>
                  <w:sz w:val="20"/>
                  <w:szCs w:val="20"/>
                  <w:u w:val="single"/>
                </w:rPr>
                <w:t>https://www.cms.gov/Medicare/Quality-Initiatives-Patient-Assessment-Instruments/Post-Acute-Care-Quality-Initiatives/Downloads/IRF-QRP-Function-Quality-Measure-Specifications-August-2018.pdf</w:t>
              </w:r>
            </w:hyperlink>
          </w:p>
        </w:tc>
      </w:tr>
      <w:tr w:rsidR="00B33D7C" w:rsidRPr="00B33D7C" w14:paraId="0E874CCE"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3D14F040" w14:textId="77777777" w:rsidR="00B33D7C" w:rsidRPr="00B33D7C" w:rsidRDefault="00B33D7C" w:rsidP="00B33D7C">
            <w:pPr>
              <w:spacing w:before="180" w:after="480"/>
              <w:rPr>
                <w:rFonts w:ascii="Open Sans" w:hAnsi="Open Sans" w:cs="Open Sans"/>
                <w:color w:val="000000"/>
                <w:sz w:val="20"/>
                <w:szCs w:val="20"/>
              </w:rPr>
            </w:pPr>
            <w:r w:rsidRPr="00B33D7C">
              <w:rPr>
                <w:rFonts w:ascii="Open Sans" w:hAnsi="Open Sans" w:cs="Open Sans"/>
                <w:color w:val="000000"/>
                <w:sz w:val="20"/>
                <w:szCs w:val="20"/>
              </w:rPr>
              <w:t>Healthcare Aims</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6751A97B" w14:textId="77777777" w:rsidR="00B33D7C" w:rsidRPr="00B33D7C" w:rsidRDefault="00B33D7C" w:rsidP="00B33D7C">
            <w:pPr>
              <w:numPr>
                <w:ilvl w:val="0"/>
                <w:numId w:val="1"/>
              </w:numPr>
              <w:spacing w:before="100" w:beforeAutospacing="1" w:after="240" w:line="360" w:lineRule="atLeast"/>
              <w:ind w:left="1200"/>
              <w:rPr>
                <w:rFonts w:ascii="Open Sans" w:hAnsi="Open Sans" w:cs="Open Sans"/>
                <w:color w:val="000000"/>
                <w:sz w:val="20"/>
                <w:szCs w:val="20"/>
              </w:rPr>
            </w:pPr>
            <w:r w:rsidRPr="00B33D7C">
              <w:rPr>
                <w:rFonts w:ascii="Open Sans" w:hAnsi="Open Sans" w:cs="Open Sans"/>
                <w:color w:val="000000"/>
                <w:sz w:val="20"/>
                <w:szCs w:val="20"/>
              </w:rPr>
              <w:t>Improving patient experience of care (quality and/or satisfaction)</w:t>
            </w:r>
          </w:p>
          <w:p w14:paraId="42DFB28B" w14:textId="77777777" w:rsidR="00B33D7C" w:rsidRPr="00B33D7C" w:rsidRDefault="00B33D7C" w:rsidP="00B33D7C">
            <w:pPr>
              <w:numPr>
                <w:ilvl w:val="0"/>
                <w:numId w:val="1"/>
              </w:numPr>
              <w:spacing w:before="100" w:beforeAutospacing="1" w:after="240" w:line="360" w:lineRule="atLeast"/>
              <w:ind w:left="1200"/>
              <w:rPr>
                <w:rFonts w:ascii="Open Sans" w:hAnsi="Open Sans" w:cs="Open Sans"/>
                <w:color w:val="000000"/>
                <w:sz w:val="20"/>
                <w:szCs w:val="20"/>
              </w:rPr>
            </w:pPr>
            <w:r w:rsidRPr="00B33D7C">
              <w:rPr>
                <w:rFonts w:ascii="Open Sans" w:hAnsi="Open Sans" w:cs="Open Sans"/>
                <w:color w:val="000000"/>
                <w:sz w:val="20"/>
                <w:szCs w:val="20"/>
              </w:rPr>
              <w:t>Improving the health of populations</w:t>
            </w:r>
          </w:p>
          <w:p w14:paraId="1AD156B0" w14:textId="77777777" w:rsidR="00B33D7C" w:rsidRPr="00B33D7C" w:rsidRDefault="00B33D7C" w:rsidP="00B33D7C">
            <w:pPr>
              <w:numPr>
                <w:ilvl w:val="0"/>
                <w:numId w:val="1"/>
              </w:numPr>
              <w:spacing w:before="100" w:beforeAutospacing="1" w:after="240" w:line="360" w:lineRule="atLeast"/>
              <w:ind w:left="1200"/>
              <w:rPr>
                <w:rFonts w:ascii="Open Sans" w:hAnsi="Open Sans" w:cs="Open Sans"/>
                <w:color w:val="000000"/>
                <w:sz w:val="20"/>
                <w:szCs w:val="20"/>
              </w:rPr>
            </w:pPr>
            <w:r w:rsidRPr="00B33D7C">
              <w:rPr>
                <w:rFonts w:ascii="Open Sans" w:hAnsi="Open Sans" w:cs="Open Sans"/>
                <w:color w:val="000000"/>
                <w:sz w:val="20"/>
                <w:szCs w:val="20"/>
              </w:rPr>
              <w:t>Reducing the cost of care</w:t>
            </w:r>
          </w:p>
          <w:p w14:paraId="6BF76FC2" w14:textId="77777777" w:rsidR="00B33D7C" w:rsidRPr="00B33D7C" w:rsidRDefault="00B33D7C" w:rsidP="00B33D7C">
            <w:pPr>
              <w:numPr>
                <w:ilvl w:val="0"/>
                <w:numId w:val="1"/>
              </w:numPr>
              <w:spacing w:before="100" w:beforeAutospacing="1" w:after="240" w:line="360" w:lineRule="atLeast"/>
              <w:ind w:left="1200"/>
              <w:rPr>
                <w:rFonts w:ascii="Open Sans" w:hAnsi="Open Sans" w:cs="Open Sans"/>
                <w:color w:val="000000"/>
                <w:sz w:val="20"/>
                <w:szCs w:val="20"/>
              </w:rPr>
            </w:pPr>
            <w:r w:rsidRPr="00B33D7C">
              <w:rPr>
                <w:rFonts w:ascii="Open Sans" w:hAnsi="Open Sans" w:cs="Open Sans"/>
                <w:color w:val="000000"/>
                <w:sz w:val="20"/>
                <w:szCs w:val="20"/>
              </w:rPr>
              <w:t>Improving provider experience of care</w:t>
            </w:r>
          </w:p>
        </w:tc>
      </w:tr>
      <w:tr w:rsidR="00B33D7C" w:rsidRPr="00B33D7C" w14:paraId="73B864A9" w14:textId="77777777" w:rsidTr="00B33D7C">
        <w:tc>
          <w:tcPr>
            <w:tcW w:w="13310" w:type="dxa"/>
            <w:gridSpan w:val="2"/>
            <w:tcBorders>
              <w:top w:val="single" w:sz="6" w:space="0" w:color="333333"/>
              <w:left w:val="single" w:sz="6" w:space="0" w:color="333333"/>
              <w:bottom w:val="single" w:sz="6" w:space="0" w:color="333333"/>
              <w:right w:val="single" w:sz="6" w:space="0" w:color="333333"/>
            </w:tcBorders>
            <w:shd w:val="clear" w:color="auto" w:fill="D0EBFC"/>
            <w:tcMar>
              <w:top w:w="120" w:type="dxa"/>
              <w:left w:w="60" w:type="dxa"/>
              <w:bottom w:w="120" w:type="dxa"/>
              <w:right w:w="60" w:type="dxa"/>
            </w:tcMar>
            <w:hideMark/>
          </w:tcPr>
          <w:p w14:paraId="779A40E4" w14:textId="77777777" w:rsidR="00B33D7C" w:rsidRPr="00B33D7C" w:rsidRDefault="00B33D7C" w:rsidP="00B33D7C">
            <w:pPr>
              <w:jc w:val="center"/>
              <w:rPr>
                <w:rFonts w:ascii="Roboto Condensed" w:hAnsi="Roboto Condensed" w:cs="Open Sans"/>
                <w:color w:val="000000"/>
              </w:rPr>
            </w:pPr>
            <w:r w:rsidRPr="00B33D7C">
              <w:rPr>
                <w:rFonts w:ascii="Roboto Condensed" w:hAnsi="Roboto Condensed" w:cs="Open Sans"/>
                <w:color w:val="000000"/>
              </w:rPr>
              <w:t>Maturity of Use and Technical Specifications for Data Element</w:t>
            </w:r>
          </w:p>
        </w:tc>
      </w:tr>
      <w:tr w:rsidR="00B33D7C" w:rsidRPr="00B33D7C" w14:paraId="0836A52D"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03FA8EBA" w14:textId="77777777" w:rsidR="00B33D7C" w:rsidRPr="00B33D7C" w:rsidRDefault="00B33D7C" w:rsidP="00B33D7C">
            <w:pPr>
              <w:rPr>
                <w:rFonts w:ascii="Open Sans" w:hAnsi="Open Sans" w:cs="Open Sans"/>
                <w:color w:val="000000"/>
                <w:sz w:val="20"/>
                <w:szCs w:val="20"/>
              </w:rPr>
            </w:pPr>
            <w:r w:rsidRPr="00B33D7C">
              <w:rPr>
                <w:rFonts w:ascii="Open Sans" w:hAnsi="Open Sans" w:cs="Open Sans"/>
                <w:color w:val="000000"/>
                <w:sz w:val="20"/>
                <w:szCs w:val="20"/>
              </w:rPr>
              <w:t>Applicable Standard(s)</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3E421544" w14:textId="77777777" w:rsidR="00B33D7C" w:rsidRPr="00B33D7C" w:rsidRDefault="00B33D7C" w:rsidP="00B33D7C">
            <w:pPr>
              <w:spacing w:line="360" w:lineRule="atLeast"/>
              <w:rPr>
                <w:rFonts w:ascii="Open Sans" w:hAnsi="Open Sans" w:cs="Open Sans"/>
                <w:color w:val="000000"/>
                <w:sz w:val="20"/>
                <w:szCs w:val="20"/>
              </w:rPr>
            </w:pPr>
            <w:r w:rsidRPr="00B33D7C">
              <w:rPr>
                <w:rFonts w:ascii="Open Sans" w:hAnsi="Open Sans" w:cs="Open Sans"/>
                <w:color w:val="000000"/>
                <w:sz w:val="20"/>
                <w:szCs w:val="20"/>
              </w:rPr>
              <w:t>ICF: International Classification of Functioning, Disability and Health – the WHO framework for measuring health and disability at both the individual and population levels</w:t>
            </w:r>
            <w:r w:rsidRPr="00B33D7C">
              <w:rPr>
                <w:rFonts w:ascii="Open Sans" w:hAnsi="Open Sans" w:cs="Open Sans"/>
                <w:color w:val="000000"/>
                <w:sz w:val="20"/>
                <w:szCs w:val="20"/>
              </w:rPr>
              <w:br/>
            </w:r>
            <w:hyperlink r:id="rId15" w:tgtFrame="_blank" w:tooltip="https://www.who.int/standards/classifications/international-classification-of-functioning-disability-and-health" w:history="1">
              <w:r w:rsidRPr="00B33D7C">
                <w:rPr>
                  <w:rFonts w:ascii="Open Sans" w:hAnsi="Open Sans" w:cs="Open Sans"/>
                  <w:color w:val="0D3868"/>
                  <w:sz w:val="20"/>
                  <w:szCs w:val="20"/>
                  <w:u w:val="single"/>
                </w:rPr>
                <w:t>https://www.who.int/standards/classifications/international-classification-of-functioning-disability-and-health</w:t>
              </w:r>
            </w:hyperlink>
            <w:r w:rsidRPr="00B33D7C">
              <w:rPr>
                <w:rFonts w:ascii="Open Sans" w:hAnsi="Open Sans" w:cs="Open Sans"/>
                <w:color w:val="000000"/>
                <w:sz w:val="20"/>
                <w:szCs w:val="20"/>
              </w:rPr>
              <w:br/>
            </w:r>
            <w:r w:rsidRPr="00B33D7C">
              <w:rPr>
                <w:rFonts w:ascii="Open Sans" w:hAnsi="Open Sans" w:cs="Open Sans"/>
                <w:color w:val="000000"/>
                <w:sz w:val="20"/>
                <w:szCs w:val="20"/>
              </w:rPr>
              <w:br/>
              <w:t>LOINC</w:t>
            </w:r>
            <w:r w:rsidRPr="00B33D7C">
              <w:rPr>
                <w:rFonts w:ascii="Open Sans" w:hAnsi="Open Sans" w:cs="Open Sans"/>
                <w:color w:val="000000"/>
                <w:sz w:val="20"/>
                <w:szCs w:val="20"/>
              </w:rPr>
              <w:br/>
            </w:r>
            <w:hyperlink r:id="rId16" w:tgtFrame="_blank" w:tooltip="https://loinc.org/" w:history="1">
              <w:r w:rsidRPr="00B33D7C">
                <w:rPr>
                  <w:rFonts w:ascii="Open Sans" w:hAnsi="Open Sans" w:cs="Open Sans"/>
                  <w:color w:val="0D3868"/>
                  <w:sz w:val="20"/>
                  <w:szCs w:val="20"/>
                  <w:u w:val="single"/>
                </w:rPr>
                <w:t>https://loinc.org/</w:t>
              </w:r>
            </w:hyperlink>
            <w:r w:rsidRPr="00B33D7C">
              <w:rPr>
                <w:rFonts w:ascii="Open Sans" w:hAnsi="Open Sans" w:cs="Open Sans"/>
                <w:color w:val="000000"/>
                <w:sz w:val="20"/>
                <w:szCs w:val="20"/>
              </w:rPr>
              <w:br/>
            </w:r>
            <w:r w:rsidRPr="00B33D7C">
              <w:rPr>
                <w:rFonts w:ascii="Open Sans" w:hAnsi="Open Sans" w:cs="Open Sans"/>
                <w:color w:val="000000"/>
                <w:sz w:val="20"/>
                <w:szCs w:val="20"/>
              </w:rPr>
              <w:lastRenderedPageBreak/>
              <w:br/>
              <w:t>SNOMED CT</w:t>
            </w:r>
            <w:r w:rsidRPr="00B33D7C">
              <w:rPr>
                <w:rFonts w:ascii="Open Sans" w:hAnsi="Open Sans" w:cs="Open Sans"/>
                <w:color w:val="000000"/>
                <w:sz w:val="20"/>
                <w:szCs w:val="20"/>
              </w:rPr>
              <w:br/>
            </w:r>
            <w:hyperlink r:id="rId17" w:tgtFrame="_blank" w:tooltip="https://www.nlm.nih.gov/healthit/snomedct/index.html" w:history="1">
              <w:r w:rsidRPr="00B33D7C">
                <w:rPr>
                  <w:rFonts w:ascii="Open Sans" w:hAnsi="Open Sans" w:cs="Open Sans"/>
                  <w:color w:val="0D3868"/>
                  <w:sz w:val="20"/>
                  <w:szCs w:val="20"/>
                  <w:u w:val="single"/>
                </w:rPr>
                <w:t>https://www.nlm.nih.gov/healthit/snomedct/index.html</w:t>
              </w:r>
            </w:hyperlink>
            <w:r w:rsidRPr="00B33D7C">
              <w:rPr>
                <w:rFonts w:ascii="Open Sans" w:hAnsi="Open Sans" w:cs="Open Sans"/>
                <w:color w:val="000000"/>
                <w:sz w:val="20"/>
                <w:szCs w:val="20"/>
              </w:rPr>
              <w:br/>
            </w:r>
            <w:r w:rsidRPr="00B33D7C">
              <w:rPr>
                <w:rFonts w:ascii="Open Sans" w:hAnsi="Open Sans" w:cs="Open Sans"/>
                <w:color w:val="000000"/>
                <w:sz w:val="20"/>
                <w:szCs w:val="20"/>
              </w:rPr>
              <w:br/>
              <w:t>HL&amp; FHIR US Core R.4.0 – Functional Status – In Development (Feedback being requested)</w:t>
            </w:r>
            <w:r w:rsidRPr="00B33D7C">
              <w:rPr>
                <w:rFonts w:ascii="Open Sans" w:hAnsi="Open Sans" w:cs="Open Sans"/>
                <w:color w:val="000000"/>
                <w:sz w:val="20"/>
                <w:szCs w:val="20"/>
              </w:rPr>
              <w:br/>
            </w:r>
            <w:hyperlink r:id="rId18" w:tgtFrame="_blank" w:tooltip="http://hl7.org/fhir/us/pacio-fs/2021JAN/index.html" w:history="1">
              <w:r w:rsidRPr="00B33D7C">
                <w:rPr>
                  <w:rFonts w:ascii="Open Sans" w:hAnsi="Open Sans" w:cs="Open Sans"/>
                  <w:color w:val="0D3868"/>
                  <w:sz w:val="20"/>
                  <w:szCs w:val="20"/>
                  <w:u w:val="single"/>
                </w:rPr>
                <w:t>http://hl7.org/fhir/us/pacio-fs/2021JAN/index.html</w:t>
              </w:r>
            </w:hyperlink>
            <w:r w:rsidRPr="00B33D7C">
              <w:rPr>
                <w:rFonts w:ascii="Open Sans" w:hAnsi="Open Sans" w:cs="Open Sans"/>
                <w:color w:val="000000"/>
                <w:sz w:val="20"/>
                <w:szCs w:val="20"/>
              </w:rPr>
              <w:br/>
            </w:r>
            <w:r w:rsidRPr="00B33D7C">
              <w:rPr>
                <w:rFonts w:ascii="Open Sans" w:hAnsi="Open Sans" w:cs="Open Sans"/>
                <w:color w:val="000000"/>
                <w:sz w:val="20"/>
                <w:szCs w:val="20"/>
              </w:rPr>
              <w:br/>
              <w:t>The CMS Data Element Library provides downloadable functional status data elements:</w:t>
            </w:r>
            <w:r w:rsidRPr="00B33D7C">
              <w:rPr>
                <w:rFonts w:ascii="Open Sans" w:hAnsi="Open Sans" w:cs="Open Sans"/>
                <w:color w:val="000000"/>
                <w:sz w:val="20"/>
                <w:szCs w:val="20"/>
              </w:rPr>
              <w:br/>
              <w:t>* Inpatient Rehabilitation Facility Patient Assessment Instrument (IRF-PAI)</w:t>
            </w:r>
            <w:r w:rsidRPr="00B33D7C">
              <w:rPr>
                <w:rFonts w:ascii="Open Sans" w:hAnsi="Open Sans" w:cs="Open Sans"/>
                <w:color w:val="000000"/>
                <w:sz w:val="20"/>
                <w:szCs w:val="20"/>
              </w:rPr>
              <w:br/>
              <w:t>* Resident Assessment Instrument – Minimum Data Set (MDS)</w:t>
            </w:r>
            <w:r w:rsidRPr="00B33D7C">
              <w:rPr>
                <w:rFonts w:ascii="Open Sans" w:hAnsi="Open Sans" w:cs="Open Sans"/>
                <w:color w:val="000000"/>
                <w:sz w:val="20"/>
                <w:szCs w:val="20"/>
              </w:rPr>
              <w:br/>
              <w:t>* Outcome and Assessment Information Set (OASIS)</w:t>
            </w:r>
            <w:r w:rsidRPr="00B33D7C">
              <w:rPr>
                <w:rFonts w:ascii="Open Sans" w:hAnsi="Open Sans" w:cs="Open Sans"/>
                <w:color w:val="000000"/>
                <w:sz w:val="20"/>
                <w:szCs w:val="20"/>
              </w:rPr>
              <w:br/>
              <w:t>* Functional Assessment Standardized Items (FASI)</w:t>
            </w:r>
            <w:r w:rsidRPr="00B33D7C">
              <w:rPr>
                <w:rFonts w:ascii="Open Sans" w:hAnsi="Open Sans" w:cs="Open Sans"/>
                <w:color w:val="000000"/>
                <w:sz w:val="20"/>
                <w:szCs w:val="20"/>
              </w:rPr>
              <w:br/>
            </w:r>
            <w:hyperlink r:id="rId19" w:tgtFrame="_blank" w:tooltip="https://del.cms.gov/DELWeb/pubHome" w:history="1">
              <w:r w:rsidRPr="00B33D7C">
                <w:rPr>
                  <w:rFonts w:ascii="Open Sans" w:hAnsi="Open Sans" w:cs="Open Sans"/>
                  <w:color w:val="0D3868"/>
                  <w:sz w:val="20"/>
                  <w:szCs w:val="20"/>
                  <w:u w:val="single"/>
                </w:rPr>
                <w:t>https://del.cms.gov/DELWeb/pubHome</w:t>
              </w:r>
            </w:hyperlink>
            <w:r w:rsidRPr="00B33D7C">
              <w:rPr>
                <w:rFonts w:ascii="Open Sans" w:hAnsi="Open Sans" w:cs="Open Sans"/>
                <w:color w:val="000000"/>
                <w:sz w:val="20"/>
                <w:szCs w:val="20"/>
              </w:rPr>
              <w:br/>
            </w:r>
            <w:hyperlink r:id="rId20" w:history="1">
              <w:r w:rsidRPr="00B33D7C">
                <w:rPr>
                  <w:rFonts w:ascii="Open Sans" w:hAnsi="Open Sans" w:cs="Open Sans"/>
                  <w:color w:val="0D3868"/>
                  <w:sz w:val="20"/>
                  <w:szCs w:val="20"/>
                  <w:u w:val="single"/>
                </w:rPr>
                <w:t>https://loinc.org/</w:t>
              </w:r>
            </w:hyperlink>
          </w:p>
        </w:tc>
      </w:tr>
      <w:tr w:rsidR="00B33D7C" w:rsidRPr="00B33D7C" w14:paraId="047D8C15"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336B7029" w14:textId="77777777" w:rsidR="00B33D7C" w:rsidRPr="00B33D7C" w:rsidRDefault="00B33D7C" w:rsidP="00B33D7C">
            <w:pPr>
              <w:rPr>
                <w:rFonts w:ascii="Open Sans" w:hAnsi="Open Sans" w:cs="Open Sans"/>
                <w:color w:val="000000"/>
                <w:sz w:val="20"/>
                <w:szCs w:val="20"/>
              </w:rPr>
            </w:pPr>
            <w:r w:rsidRPr="00B33D7C">
              <w:rPr>
                <w:rFonts w:ascii="Open Sans" w:hAnsi="Open Sans" w:cs="Open Sans"/>
                <w:color w:val="000000"/>
                <w:sz w:val="20"/>
                <w:szCs w:val="20"/>
              </w:rPr>
              <w:lastRenderedPageBreak/>
              <w:t>Additional Specifications</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3BBAB34E" w14:textId="77777777" w:rsidR="00B33D7C" w:rsidRPr="00B33D7C" w:rsidRDefault="00B33D7C" w:rsidP="00B33D7C">
            <w:pPr>
              <w:spacing w:line="360" w:lineRule="atLeast"/>
              <w:rPr>
                <w:rFonts w:ascii="Open Sans" w:hAnsi="Open Sans" w:cs="Open Sans"/>
                <w:color w:val="000000"/>
                <w:sz w:val="20"/>
                <w:szCs w:val="20"/>
              </w:rPr>
            </w:pPr>
            <w:r w:rsidRPr="00B33D7C">
              <w:rPr>
                <w:rFonts w:ascii="Open Sans" w:hAnsi="Open Sans" w:cs="Open Sans"/>
                <w:color w:val="000000"/>
                <w:sz w:val="20"/>
                <w:szCs w:val="20"/>
              </w:rPr>
              <w:t>HL7 &amp; FHIR US Core.R.4.0 – Functional Status</w:t>
            </w:r>
            <w:r w:rsidRPr="00B33D7C">
              <w:rPr>
                <w:rFonts w:ascii="Open Sans" w:hAnsi="Open Sans" w:cs="Open Sans"/>
                <w:color w:val="000000"/>
                <w:sz w:val="20"/>
                <w:szCs w:val="20"/>
              </w:rPr>
              <w:br/>
            </w:r>
            <w:hyperlink r:id="rId21" w:tgtFrame="_blank" w:tooltip="http://hl7.org/fhir/us/pacio-fs/2021JAN/index.html" w:history="1">
              <w:r w:rsidRPr="00B33D7C">
                <w:rPr>
                  <w:rFonts w:ascii="Open Sans" w:hAnsi="Open Sans" w:cs="Open Sans"/>
                  <w:color w:val="0D3868"/>
                  <w:sz w:val="20"/>
                  <w:szCs w:val="20"/>
                  <w:u w:val="single"/>
                </w:rPr>
                <w:t>http://hl7.org/fhir/us/pacio-fs/2021JAN/index.html</w:t>
              </w:r>
            </w:hyperlink>
            <w:r w:rsidRPr="00B33D7C">
              <w:rPr>
                <w:rFonts w:ascii="Open Sans" w:hAnsi="Open Sans" w:cs="Open Sans"/>
                <w:color w:val="000000"/>
                <w:sz w:val="20"/>
                <w:szCs w:val="20"/>
              </w:rPr>
              <w:br/>
            </w:r>
            <w:r w:rsidRPr="00B33D7C">
              <w:rPr>
                <w:rFonts w:ascii="Open Sans" w:hAnsi="Open Sans" w:cs="Open Sans"/>
                <w:color w:val="000000"/>
                <w:sz w:val="20"/>
                <w:szCs w:val="20"/>
              </w:rPr>
              <w:br/>
              <w:t>CMS Data Element Library</w:t>
            </w:r>
            <w:r w:rsidRPr="00B33D7C">
              <w:rPr>
                <w:rFonts w:ascii="Open Sans" w:hAnsi="Open Sans" w:cs="Open Sans"/>
                <w:color w:val="000000"/>
                <w:sz w:val="20"/>
                <w:szCs w:val="20"/>
              </w:rPr>
              <w:br/>
            </w:r>
            <w:hyperlink r:id="rId22" w:tgtFrame="_blank" w:tooltip="https://del.cms.gov/DELWeb/pubHome" w:history="1">
              <w:r w:rsidRPr="00B33D7C">
                <w:rPr>
                  <w:rFonts w:ascii="Open Sans" w:hAnsi="Open Sans" w:cs="Open Sans"/>
                  <w:color w:val="0D3868"/>
                  <w:sz w:val="20"/>
                  <w:szCs w:val="20"/>
                  <w:u w:val="single"/>
                </w:rPr>
                <w:t>https://del.cms.gov/DELWeb/pubHome</w:t>
              </w:r>
            </w:hyperlink>
          </w:p>
        </w:tc>
      </w:tr>
      <w:tr w:rsidR="00B33D7C" w:rsidRPr="00B33D7C" w14:paraId="69DDEBB0"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5F73C5D0" w14:textId="77777777" w:rsidR="00B33D7C" w:rsidRPr="00B33D7C" w:rsidRDefault="00B33D7C" w:rsidP="00B33D7C">
            <w:pPr>
              <w:rPr>
                <w:rFonts w:ascii="Open Sans" w:hAnsi="Open Sans" w:cs="Open Sans"/>
                <w:color w:val="000000"/>
                <w:sz w:val="20"/>
                <w:szCs w:val="20"/>
              </w:rPr>
            </w:pPr>
            <w:r w:rsidRPr="00B33D7C">
              <w:rPr>
                <w:rFonts w:ascii="Open Sans" w:hAnsi="Open Sans" w:cs="Open Sans"/>
                <w:color w:val="000000"/>
                <w:sz w:val="20"/>
                <w:szCs w:val="20"/>
              </w:rPr>
              <w:t>Current Use</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7778A1A3" w14:textId="77777777" w:rsidR="00B33D7C" w:rsidRPr="00B33D7C" w:rsidRDefault="00B33D7C" w:rsidP="00B33D7C">
            <w:pPr>
              <w:spacing w:line="360" w:lineRule="atLeast"/>
              <w:rPr>
                <w:rFonts w:ascii="Open Sans" w:hAnsi="Open Sans" w:cs="Open Sans"/>
                <w:color w:val="000000"/>
                <w:sz w:val="20"/>
                <w:szCs w:val="20"/>
              </w:rPr>
            </w:pPr>
            <w:r w:rsidRPr="00B33D7C">
              <w:rPr>
                <w:rFonts w:ascii="Open Sans" w:hAnsi="Open Sans" w:cs="Open Sans"/>
                <w:color w:val="000000"/>
                <w:sz w:val="20"/>
                <w:szCs w:val="20"/>
              </w:rPr>
              <w:t>In limited use in test environments only</w:t>
            </w:r>
          </w:p>
        </w:tc>
      </w:tr>
      <w:tr w:rsidR="00B33D7C" w:rsidRPr="00B33D7C" w14:paraId="38E8BB24"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01A7BA59" w14:textId="77777777" w:rsidR="00B33D7C" w:rsidRPr="00B33D7C" w:rsidRDefault="00B33D7C" w:rsidP="00B33D7C">
            <w:pPr>
              <w:rPr>
                <w:rFonts w:ascii="Open Sans" w:hAnsi="Open Sans" w:cs="Open Sans"/>
                <w:color w:val="000000"/>
                <w:sz w:val="20"/>
                <w:szCs w:val="20"/>
              </w:rPr>
            </w:pPr>
            <w:r w:rsidRPr="00B33D7C">
              <w:rPr>
                <w:rFonts w:ascii="Open Sans" w:hAnsi="Open Sans" w:cs="Open Sans"/>
                <w:color w:val="000000"/>
                <w:sz w:val="20"/>
                <w:szCs w:val="20"/>
              </w:rPr>
              <w:t>Number of organizations/individuals with which this data element has been electronically exchanged</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1AA4A208" w14:textId="77777777" w:rsidR="00B33D7C" w:rsidRPr="00B33D7C" w:rsidRDefault="00B33D7C" w:rsidP="00B33D7C">
            <w:pPr>
              <w:spacing w:line="360" w:lineRule="atLeast"/>
              <w:rPr>
                <w:rFonts w:ascii="Open Sans" w:hAnsi="Open Sans" w:cs="Open Sans"/>
                <w:color w:val="000000"/>
                <w:sz w:val="20"/>
                <w:szCs w:val="20"/>
              </w:rPr>
            </w:pPr>
            <w:r w:rsidRPr="00B33D7C">
              <w:rPr>
                <w:rFonts w:ascii="Open Sans" w:hAnsi="Open Sans" w:cs="Open Sans"/>
                <w:color w:val="000000"/>
                <w:sz w:val="20"/>
                <w:szCs w:val="20"/>
              </w:rPr>
              <w:t>1</w:t>
            </w:r>
          </w:p>
        </w:tc>
      </w:tr>
      <w:tr w:rsidR="00B33D7C" w:rsidRPr="00B33D7C" w14:paraId="2A24AD9B"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536015D4" w14:textId="77777777" w:rsidR="00B33D7C" w:rsidRPr="00B33D7C" w:rsidRDefault="00B33D7C" w:rsidP="00B33D7C">
            <w:pPr>
              <w:rPr>
                <w:rFonts w:ascii="Open Sans" w:hAnsi="Open Sans" w:cs="Open Sans"/>
                <w:color w:val="000000"/>
                <w:sz w:val="20"/>
                <w:szCs w:val="20"/>
              </w:rPr>
            </w:pPr>
            <w:r w:rsidRPr="00B33D7C">
              <w:rPr>
                <w:rFonts w:ascii="Open Sans" w:hAnsi="Open Sans" w:cs="Open Sans"/>
                <w:color w:val="000000"/>
                <w:sz w:val="20"/>
                <w:szCs w:val="20"/>
              </w:rPr>
              <w:lastRenderedPageBreak/>
              <w:t>Supporting Artifacts</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28323B96" w14:textId="77777777" w:rsidR="00B33D7C" w:rsidRPr="00B33D7C" w:rsidRDefault="00B33D7C" w:rsidP="00B33D7C">
            <w:pPr>
              <w:spacing w:line="360" w:lineRule="atLeast"/>
              <w:rPr>
                <w:rFonts w:ascii="Open Sans" w:hAnsi="Open Sans" w:cs="Open Sans"/>
                <w:color w:val="000000"/>
                <w:sz w:val="20"/>
                <w:szCs w:val="20"/>
              </w:rPr>
            </w:pPr>
            <w:r w:rsidRPr="00B33D7C">
              <w:rPr>
                <w:rFonts w:ascii="Open Sans" w:hAnsi="Open Sans" w:cs="Open Sans"/>
                <w:color w:val="000000"/>
                <w:sz w:val="20"/>
                <w:szCs w:val="20"/>
              </w:rPr>
              <w:t xml:space="preserve">The ECOG and Karnofsky functional status assessments are part of the mCODE (minimal Common Oncology Data Elements) FHIR Implementation Guide. Efforts are underway to facilitate data exchange of these assessments in clinical trials through Real-World-Data clinical trial use cases being developed through CodeX (Common Oncology Data Elements </w:t>
            </w:r>
            <w:proofErr w:type="spellStart"/>
            <w:r w:rsidRPr="00B33D7C">
              <w:rPr>
                <w:rFonts w:ascii="Open Sans" w:hAnsi="Open Sans" w:cs="Open Sans"/>
                <w:color w:val="000000"/>
                <w:sz w:val="20"/>
                <w:szCs w:val="20"/>
              </w:rPr>
              <w:t>eXtensions</w:t>
            </w:r>
            <w:proofErr w:type="spellEnd"/>
            <w:r w:rsidRPr="00B33D7C">
              <w:rPr>
                <w:rFonts w:ascii="Open Sans" w:hAnsi="Open Sans" w:cs="Open Sans"/>
                <w:color w:val="000000"/>
                <w:sz w:val="20"/>
                <w:szCs w:val="20"/>
              </w:rPr>
              <w:t>) projects.</w:t>
            </w:r>
            <w:r w:rsidRPr="00B33D7C">
              <w:rPr>
                <w:rFonts w:ascii="Open Sans" w:hAnsi="Open Sans" w:cs="Open Sans"/>
                <w:color w:val="000000"/>
                <w:sz w:val="20"/>
                <w:szCs w:val="20"/>
              </w:rPr>
              <w:br/>
            </w:r>
            <w:hyperlink r:id="rId23" w:history="1">
              <w:r w:rsidRPr="00B33D7C">
                <w:rPr>
                  <w:rFonts w:ascii="Open Sans" w:hAnsi="Open Sans" w:cs="Open Sans"/>
                  <w:color w:val="0D3868"/>
                  <w:sz w:val="20"/>
                  <w:szCs w:val="20"/>
                  <w:u w:val="single"/>
                </w:rPr>
                <w:t>https://confluence.hl7.org/display/COD/EHR+Endpoints+for+Cancer+Clinical+Trials</w:t>
              </w:r>
            </w:hyperlink>
          </w:p>
        </w:tc>
      </w:tr>
      <w:tr w:rsidR="00B33D7C" w:rsidRPr="00B33D7C" w14:paraId="0A8EB753" w14:textId="77777777" w:rsidTr="00B33D7C">
        <w:tc>
          <w:tcPr>
            <w:tcW w:w="13310" w:type="dxa"/>
            <w:gridSpan w:val="2"/>
            <w:tcBorders>
              <w:top w:val="single" w:sz="6" w:space="0" w:color="333333"/>
              <w:left w:val="single" w:sz="6" w:space="0" w:color="333333"/>
              <w:bottom w:val="single" w:sz="6" w:space="0" w:color="333333"/>
              <w:right w:val="single" w:sz="6" w:space="0" w:color="333333"/>
            </w:tcBorders>
            <w:shd w:val="clear" w:color="auto" w:fill="D0EBFC"/>
            <w:tcMar>
              <w:top w:w="120" w:type="dxa"/>
              <w:left w:w="60" w:type="dxa"/>
              <w:bottom w:w="120" w:type="dxa"/>
              <w:right w:w="60" w:type="dxa"/>
            </w:tcMar>
            <w:hideMark/>
          </w:tcPr>
          <w:p w14:paraId="5C24CB0E" w14:textId="77777777" w:rsidR="00B33D7C" w:rsidRPr="00B33D7C" w:rsidRDefault="00B33D7C" w:rsidP="00B33D7C">
            <w:pPr>
              <w:jc w:val="center"/>
              <w:rPr>
                <w:rFonts w:ascii="Roboto Condensed" w:hAnsi="Roboto Condensed" w:cs="Open Sans"/>
                <w:color w:val="000000"/>
              </w:rPr>
            </w:pPr>
            <w:r w:rsidRPr="00B33D7C">
              <w:rPr>
                <w:rFonts w:ascii="Roboto Condensed" w:hAnsi="Roboto Condensed" w:cs="Open Sans"/>
                <w:color w:val="000000"/>
              </w:rPr>
              <w:t>Potential Challenges</w:t>
            </w:r>
          </w:p>
        </w:tc>
      </w:tr>
      <w:tr w:rsidR="00B33D7C" w:rsidRPr="00B33D7C" w14:paraId="35C56BD4"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201B9976" w14:textId="77777777" w:rsidR="00B33D7C" w:rsidRPr="00B33D7C" w:rsidRDefault="00B33D7C" w:rsidP="00B33D7C">
            <w:pPr>
              <w:rPr>
                <w:rFonts w:ascii="Open Sans" w:hAnsi="Open Sans" w:cs="Open Sans"/>
                <w:color w:val="000000"/>
                <w:sz w:val="20"/>
                <w:szCs w:val="20"/>
              </w:rPr>
            </w:pPr>
            <w:r w:rsidRPr="00B33D7C">
              <w:rPr>
                <w:rFonts w:ascii="Open Sans" w:hAnsi="Open Sans" w:cs="Open Sans"/>
                <w:color w:val="000000"/>
                <w:sz w:val="20"/>
                <w:szCs w:val="20"/>
              </w:rPr>
              <w:t>Restrictions on Standardization (</w:t>
            </w:r>
            <w:proofErr w:type="gramStart"/>
            <w:r w:rsidRPr="00B33D7C">
              <w:rPr>
                <w:rFonts w:ascii="Open Sans" w:hAnsi="Open Sans" w:cs="Open Sans"/>
                <w:color w:val="000000"/>
                <w:sz w:val="20"/>
                <w:szCs w:val="20"/>
              </w:rPr>
              <w:t>e.g.</w:t>
            </w:r>
            <w:proofErr w:type="gramEnd"/>
            <w:r w:rsidRPr="00B33D7C">
              <w:rPr>
                <w:rFonts w:ascii="Open Sans" w:hAnsi="Open Sans" w:cs="Open Sans"/>
                <w:color w:val="000000"/>
                <w:sz w:val="20"/>
                <w:szCs w:val="20"/>
              </w:rPr>
              <w:t xml:space="preserve"> proprietary code)</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5DDB0115" w14:textId="77777777" w:rsidR="00B33D7C" w:rsidRPr="00B33D7C" w:rsidRDefault="00B33D7C" w:rsidP="00B33D7C">
            <w:pPr>
              <w:spacing w:line="360" w:lineRule="atLeast"/>
              <w:rPr>
                <w:rFonts w:ascii="Open Sans" w:hAnsi="Open Sans" w:cs="Open Sans"/>
                <w:color w:val="000000"/>
                <w:sz w:val="20"/>
                <w:szCs w:val="20"/>
              </w:rPr>
            </w:pPr>
            <w:r w:rsidRPr="00B33D7C">
              <w:rPr>
                <w:rFonts w:ascii="Open Sans" w:hAnsi="Open Sans" w:cs="Open Sans"/>
                <w:color w:val="000000"/>
                <w:sz w:val="20"/>
                <w:szCs w:val="20"/>
              </w:rPr>
              <w:t>We are not aware of any current restrictions on standardization of this data element.</w:t>
            </w:r>
          </w:p>
        </w:tc>
      </w:tr>
      <w:tr w:rsidR="00B33D7C" w:rsidRPr="00B33D7C" w14:paraId="0E4A03AA"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71C67EC0" w14:textId="77777777" w:rsidR="00B33D7C" w:rsidRPr="00B33D7C" w:rsidRDefault="00B33D7C" w:rsidP="00B33D7C">
            <w:pPr>
              <w:rPr>
                <w:rFonts w:ascii="Open Sans" w:hAnsi="Open Sans" w:cs="Open Sans"/>
                <w:color w:val="000000"/>
                <w:sz w:val="20"/>
                <w:szCs w:val="20"/>
              </w:rPr>
            </w:pPr>
            <w:r w:rsidRPr="00B33D7C">
              <w:rPr>
                <w:rFonts w:ascii="Open Sans" w:hAnsi="Open Sans" w:cs="Open Sans"/>
                <w:color w:val="000000"/>
                <w:sz w:val="20"/>
                <w:szCs w:val="20"/>
              </w:rPr>
              <w:t>Restrictions on Use (</w:t>
            </w:r>
            <w:proofErr w:type="gramStart"/>
            <w:r w:rsidRPr="00B33D7C">
              <w:rPr>
                <w:rFonts w:ascii="Open Sans" w:hAnsi="Open Sans" w:cs="Open Sans"/>
                <w:color w:val="000000"/>
                <w:sz w:val="20"/>
                <w:szCs w:val="20"/>
              </w:rPr>
              <w:t>e.g.</w:t>
            </w:r>
            <w:proofErr w:type="gramEnd"/>
            <w:r w:rsidRPr="00B33D7C">
              <w:rPr>
                <w:rFonts w:ascii="Open Sans" w:hAnsi="Open Sans" w:cs="Open Sans"/>
                <w:color w:val="000000"/>
                <w:sz w:val="20"/>
                <w:szCs w:val="20"/>
              </w:rPr>
              <w:t xml:space="preserve"> licensing, user fees)</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66F98AAD" w14:textId="77777777" w:rsidR="00B33D7C" w:rsidRPr="00B33D7C" w:rsidRDefault="00B33D7C" w:rsidP="00B33D7C">
            <w:pPr>
              <w:spacing w:line="360" w:lineRule="atLeast"/>
              <w:rPr>
                <w:rFonts w:ascii="Open Sans" w:hAnsi="Open Sans" w:cs="Open Sans"/>
                <w:color w:val="000000"/>
                <w:sz w:val="20"/>
                <w:szCs w:val="20"/>
              </w:rPr>
            </w:pPr>
            <w:r w:rsidRPr="00B33D7C">
              <w:rPr>
                <w:rFonts w:ascii="Open Sans" w:hAnsi="Open Sans" w:cs="Open Sans"/>
                <w:color w:val="000000"/>
                <w:sz w:val="20"/>
                <w:szCs w:val="20"/>
              </w:rPr>
              <w:t>Note that there are intellectual property issues related to use of some post-acute care assessments, and detailed further in the proposal put in by the CMS Data Element Library (DEL) Health IT Workgroup: </w:t>
            </w:r>
            <w:hyperlink r:id="rId24" w:tgtFrame="_blank" w:tooltip="https://www.healthit.gov/isa/uscdi-data/mental-function" w:history="1">
              <w:r w:rsidRPr="00B33D7C">
                <w:rPr>
                  <w:rFonts w:ascii="Open Sans" w:hAnsi="Open Sans" w:cs="Open Sans"/>
                  <w:color w:val="0D3868"/>
                  <w:sz w:val="20"/>
                  <w:szCs w:val="20"/>
                  <w:u w:val="single"/>
                </w:rPr>
                <w:t>https://www.healthit.gov/isa/uscdi-data/mental-function</w:t>
              </w:r>
            </w:hyperlink>
          </w:p>
        </w:tc>
      </w:tr>
      <w:tr w:rsidR="00B33D7C" w:rsidRPr="00B33D7C" w14:paraId="07C9100A"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487B4B0D" w14:textId="77777777" w:rsidR="00B33D7C" w:rsidRPr="00B33D7C" w:rsidRDefault="00B33D7C" w:rsidP="00B33D7C">
            <w:pPr>
              <w:rPr>
                <w:rFonts w:ascii="Open Sans" w:hAnsi="Open Sans" w:cs="Open Sans"/>
                <w:color w:val="000000"/>
                <w:sz w:val="20"/>
                <w:szCs w:val="20"/>
              </w:rPr>
            </w:pPr>
            <w:r w:rsidRPr="00B33D7C">
              <w:rPr>
                <w:rFonts w:ascii="Open Sans" w:hAnsi="Open Sans" w:cs="Open Sans"/>
                <w:color w:val="000000"/>
                <w:sz w:val="20"/>
                <w:szCs w:val="20"/>
              </w:rPr>
              <w:t>Privacy and Security Concerns</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3CFB17B3" w14:textId="77777777" w:rsidR="00B33D7C" w:rsidRPr="00B33D7C" w:rsidRDefault="00B33D7C" w:rsidP="00B33D7C">
            <w:pPr>
              <w:spacing w:line="360" w:lineRule="atLeast"/>
              <w:rPr>
                <w:rFonts w:ascii="Open Sans" w:hAnsi="Open Sans" w:cs="Open Sans"/>
                <w:color w:val="000000"/>
                <w:sz w:val="20"/>
                <w:szCs w:val="20"/>
              </w:rPr>
            </w:pPr>
            <w:r w:rsidRPr="00B33D7C">
              <w:rPr>
                <w:rFonts w:ascii="Open Sans" w:hAnsi="Open Sans" w:cs="Open Sans"/>
                <w:color w:val="000000"/>
                <w:sz w:val="20"/>
                <w:szCs w:val="20"/>
              </w:rPr>
              <w:t>Usual HIPAA restrictions apply.</w:t>
            </w:r>
          </w:p>
        </w:tc>
      </w:tr>
      <w:tr w:rsidR="00B33D7C" w:rsidRPr="00B33D7C" w14:paraId="56B7F909" w14:textId="77777777" w:rsidTr="00B33D7C">
        <w:tc>
          <w:tcPr>
            <w:tcW w:w="359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4778F339" w14:textId="77777777" w:rsidR="00B33D7C" w:rsidRPr="00B33D7C" w:rsidRDefault="00B33D7C" w:rsidP="00B33D7C">
            <w:pPr>
              <w:rPr>
                <w:rFonts w:ascii="Open Sans" w:hAnsi="Open Sans" w:cs="Open Sans"/>
                <w:color w:val="000000"/>
                <w:sz w:val="20"/>
                <w:szCs w:val="20"/>
              </w:rPr>
            </w:pPr>
            <w:r w:rsidRPr="00B33D7C">
              <w:rPr>
                <w:rFonts w:ascii="Open Sans" w:hAnsi="Open Sans" w:cs="Open Sans"/>
                <w:color w:val="000000"/>
                <w:sz w:val="20"/>
                <w:szCs w:val="20"/>
              </w:rPr>
              <w:t>Estimate of Overall Burden</w:t>
            </w:r>
          </w:p>
        </w:tc>
        <w:tc>
          <w:tcPr>
            <w:tcW w:w="9720"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0617B644" w14:textId="77777777" w:rsidR="00B33D7C" w:rsidRPr="00B33D7C" w:rsidRDefault="00B33D7C" w:rsidP="00B33D7C">
            <w:pPr>
              <w:spacing w:line="360" w:lineRule="atLeast"/>
              <w:rPr>
                <w:rFonts w:ascii="Open Sans" w:hAnsi="Open Sans" w:cs="Open Sans"/>
                <w:color w:val="000000"/>
                <w:sz w:val="20"/>
                <w:szCs w:val="20"/>
              </w:rPr>
            </w:pPr>
            <w:r w:rsidRPr="00B33D7C">
              <w:rPr>
                <w:rFonts w:ascii="Open Sans" w:hAnsi="Open Sans" w:cs="Open Sans"/>
                <w:color w:val="000000"/>
                <w:sz w:val="20"/>
                <w:szCs w:val="20"/>
              </w:rPr>
              <w:t xml:space="preserve">The IMPACT Act requires the reporting of standardized patient assessment data </w:t>
            </w:r>
            <w:proofErr w:type="gramStart"/>
            <w:r w:rsidRPr="00B33D7C">
              <w:rPr>
                <w:rFonts w:ascii="Open Sans" w:hAnsi="Open Sans" w:cs="Open Sans"/>
                <w:color w:val="000000"/>
                <w:sz w:val="20"/>
                <w:szCs w:val="20"/>
              </w:rPr>
              <w:t>with regard to</w:t>
            </w:r>
            <w:proofErr w:type="gramEnd"/>
            <w:r w:rsidRPr="00B33D7C">
              <w:rPr>
                <w:rFonts w:ascii="Open Sans" w:hAnsi="Open Sans" w:cs="Open Sans"/>
                <w:color w:val="000000"/>
                <w:sz w:val="20"/>
                <w:szCs w:val="20"/>
              </w:rPr>
              <w:t xml:space="preserve"> quality measures and standardized patient assessment data elements (SPADEs). The Act also requires the submission of data pertaining to measure domains pertaining to resource use, and other domains. In addition, the IMPACT Act requires assessment data to be standardized and interoperable to allow for exchange of the data among post-acute providers and other providers. The Act intends for standardized post-acute care data to improve Medicare beneficiary outcomes through </w:t>
            </w:r>
            <w:proofErr w:type="gramStart"/>
            <w:r w:rsidRPr="00B33D7C">
              <w:rPr>
                <w:rFonts w:ascii="Open Sans" w:hAnsi="Open Sans" w:cs="Open Sans"/>
                <w:color w:val="000000"/>
                <w:sz w:val="20"/>
                <w:szCs w:val="20"/>
              </w:rPr>
              <w:t>shared-decision</w:t>
            </w:r>
            <w:proofErr w:type="gramEnd"/>
            <w:r w:rsidRPr="00B33D7C">
              <w:rPr>
                <w:rFonts w:ascii="Open Sans" w:hAnsi="Open Sans" w:cs="Open Sans"/>
                <w:color w:val="000000"/>
                <w:sz w:val="20"/>
                <w:szCs w:val="20"/>
              </w:rPr>
              <w:t xml:space="preserve"> making, care coordination, and enhanced discharge planning. The requirement of assessment data as part of the impact act supports the inclusion of assessments in USCDI.</w:t>
            </w:r>
            <w:r w:rsidRPr="00B33D7C">
              <w:rPr>
                <w:rFonts w:ascii="Open Sans" w:hAnsi="Open Sans" w:cs="Open Sans"/>
                <w:color w:val="000000"/>
                <w:sz w:val="20"/>
                <w:szCs w:val="20"/>
              </w:rPr>
              <w:br/>
            </w:r>
            <w:r w:rsidRPr="00B33D7C">
              <w:rPr>
                <w:rFonts w:ascii="Open Sans" w:hAnsi="Open Sans" w:cs="Open Sans"/>
                <w:color w:val="000000"/>
                <w:sz w:val="20"/>
                <w:szCs w:val="20"/>
              </w:rPr>
              <w:br/>
            </w:r>
            <w:hyperlink r:id="rId25" w:tgtFrame="_blank" w:tooltip="https://www.cms.gov/Medicare/Quality-Initiatives-Patient-Assessment-Instruments/Post-Acute-Care-Quality-Initiatives/IMPACT-Act-of-2014/IMPACT-Act-of-2014-Data-Standardization-and-Cross-Setting-Measures" w:history="1">
              <w:r w:rsidRPr="00B33D7C">
                <w:rPr>
                  <w:rFonts w:ascii="Open Sans" w:hAnsi="Open Sans" w:cs="Open Sans"/>
                  <w:color w:val="0D3868"/>
                  <w:sz w:val="20"/>
                  <w:szCs w:val="20"/>
                  <w:u w:val="single"/>
                </w:rPr>
                <w:t>https://www.cms.gov/Medicare/Quality-Initiatives-Patient-Assessment-Instruments/Post-Acute-Care-</w:t>
              </w:r>
              <w:r w:rsidRPr="00B33D7C">
                <w:rPr>
                  <w:rFonts w:ascii="Open Sans" w:hAnsi="Open Sans" w:cs="Open Sans"/>
                  <w:color w:val="0D3868"/>
                  <w:sz w:val="20"/>
                  <w:szCs w:val="20"/>
                  <w:u w:val="single"/>
                </w:rPr>
                <w:lastRenderedPageBreak/>
                <w:t>Quality-Initiatives/IMPACT-Act-of-2014/IMPACT-Act-of-2014-Data-Standardization-and-Cross-Setting-Measures</w:t>
              </w:r>
            </w:hyperlink>
          </w:p>
        </w:tc>
      </w:tr>
    </w:tbl>
    <w:p w14:paraId="4F3C0980" w14:textId="77777777" w:rsidR="00B33D7C" w:rsidRDefault="00B33D7C"/>
    <w:sectPr w:rsidR="00B33D7C" w:rsidSect="00B33D7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Condensed">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E3365"/>
    <w:multiLevelType w:val="multilevel"/>
    <w:tmpl w:val="B3B8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7C"/>
    <w:rsid w:val="000D0B0B"/>
    <w:rsid w:val="00644B03"/>
    <w:rsid w:val="00B33D7C"/>
    <w:rsid w:val="00C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9D56CD"/>
  <w15:chartTrackingRefBased/>
  <w15:docId w15:val="{B15ABCEC-60E8-014A-A571-E467E23B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7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3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qi.healthit.gov/ecqm/ep/2020/cms056v8" TargetMode="External"/><Relationship Id="rId13" Type="http://schemas.openxmlformats.org/officeDocument/2006/relationships/hyperlink" Target="https://confluence.hl7.org/display/COD/CodeX+Home" TargetMode="External"/><Relationship Id="rId18" Type="http://schemas.openxmlformats.org/officeDocument/2006/relationships/hyperlink" Target="http://hl7.org/fhir/us/pacio-fs/2021JAN/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hl7.org/fhir/us/pacio-fs/2021JAN/index.html" TargetMode="External"/><Relationship Id="rId7" Type="http://schemas.openxmlformats.org/officeDocument/2006/relationships/hyperlink" Target="https://qpp.cms.gov/docs/QPP_quality_measure_specifications/CQM-Measures/2020_Measure_178_MIPSCQM.pdf" TargetMode="External"/><Relationship Id="rId12" Type="http://schemas.openxmlformats.org/officeDocument/2006/relationships/hyperlink" Target="https://www.healthit.gov/isa/uscdi-data-class/functioning" TargetMode="External"/><Relationship Id="rId17" Type="http://schemas.openxmlformats.org/officeDocument/2006/relationships/hyperlink" Target="https://www.nlm.nih.gov/healthit/snomedct/index.html" TargetMode="External"/><Relationship Id="rId25" Type="http://schemas.openxmlformats.org/officeDocument/2006/relationships/hyperlink" Target="https://www.cms.gov/Medicare/Quality-Initiatives-Patient-Assessment-Instruments/Post-Acute-Care-Quality-Initiatives/IMPACT-Act-of-2014/IMPACT-Act-of-2014-Data-Standardization-and-Cross-Setting-Measures" TargetMode="External"/><Relationship Id="rId2" Type="http://schemas.openxmlformats.org/officeDocument/2006/relationships/styles" Target="styles.xml"/><Relationship Id="rId16" Type="http://schemas.openxmlformats.org/officeDocument/2006/relationships/hyperlink" Target="https://loinc.org/" TargetMode="External"/><Relationship Id="rId20" Type="http://schemas.openxmlformats.org/officeDocument/2006/relationships/hyperlink" Target="https://loinc.org/" TargetMode="External"/><Relationship Id="rId1" Type="http://schemas.openxmlformats.org/officeDocument/2006/relationships/numbering" Target="numbering.xml"/><Relationship Id="rId6" Type="http://schemas.openxmlformats.org/officeDocument/2006/relationships/hyperlink" Target="https://qpp.cms.gov/docs/QPP_quality_measure_specifications/CQM-Measures/2020_Measure_282_MIPSCQM_v4.1.pdf" TargetMode="External"/><Relationship Id="rId11" Type="http://schemas.openxmlformats.org/officeDocument/2006/relationships/hyperlink" Target="https://innovation.cms.gov/media/document/ro-clin-data-elements-rfi-v2" TargetMode="External"/><Relationship Id="rId24" Type="http://schemas.openxmlformats.org/officeDocument/2006/relationships/hyperlink" Target="https://www.healthit.gov/isa/uscdi-data/mental-function" TargetMode="External"/><Relationship Id="rId5" Type="http://schemas.openxmlformats.org/officeDocument/2006/relationships/hyperlink" Target="https://www.ncqa.org/hedis/measures/hos/" TargetMode="External"/><Relationship Id="rId15" Type="http://schemas.openxmlformats.org/officeDocument/2006/relationships/hyperlink" Target="https://www.who.int/standards/classifications/international-classification-of-functioning-disability-and-health" TargetMode="External"/><Relationship Id="rId23" Type="http://schemas.openxmlformats.org/officeDocument/2006/relationships/hyperlink" Target="https://confluence.hl7.org/display/COD/EHR+Endpoints+for+Cancer+Clinical+Trials" TargetMode="External"/><Relationship Id="rId10" Type="http://schemas.openxmlformats.org/officeDocument/2006/relationships/hyperlink" Target="https://www.ncvhs.hhs.gov/wp-content/uploads/2017/08/010617rp.pdf" TargetMode="External"/><Relationship Id="rId19" Type="http://schemas.openxmlformats.org/officeDocument/2006/relationships/hyperlink" Target="https://del.cms.gov/DELWeb/pubHome" TargetMode="External"/><Relationship Id="rId4" Type="http://schemas.openxmlformats.org/officeDocument/2006/relationships/webSettings" Target="webSettings.xml"/><Relationship Id="rId9" Type="http://schemas.openxmlformats.org/officeDocument/2006/relationships/hyperlink" Target="https://ecqi.healthit.gov/ecqm/ep/2020/cms066v8" TargetMode="External"/><Relationship Id="rId14" Type="http://schemas.openxmlformats.org/officeDocument/2006/relationships/hyperlink" Target="https://www.cms.gov/Medicare/Quality-Initiatives-Patient-Assessment-Instruments/Post-Acute-Care-Quality-Initiatives/Downloads/IRF-QRP-Function-Quality-Measure-Specifications-August-2018.pdf" TargetMode="External"/><Relationship Id="rId22" Type="http://schemas.openxmlformats.org/officeDocument/2006/relationships/hyperlink" Target="https://del.cms.gov/DELWeb/pubHom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2697</Words>
  <Characters>15374</Characters>
  <Application>Microsoft Office Word</Application>
  <DocSecurity>0</DocSecurity>
  <Lines>128</Lines>
  <Paragraphs>36</Paragraphs>
  <ScaleCrop>false</ScaleCrop>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Chen</dc:creator>
  <cp:keywords/>
  <dc:description/>
  <cp:lastModifiedBy>Su Chen</cp:lastModifiedBy>
  <cp:revision>1</cp:revision>
  <dcterms:created xsi:type="dcterms:W3CDTF">2021-09-08T14:38:00Z</dcterms:created>
  <dcterms:modified xsi:type="dcterms:W3CDTF">2021-09-08T14:41:00Z</dcterms:modified>
</cp:coreProperties>
</file>