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3042" w:type="dxa"/>
        <w:shd w:val="clear" w:color="auto" w:fill="FFFFFF"/>
        <w:tblLayout w:type="autofit"/>
        <w:tblCellMar>
          <w:top w:w="15" w:type="dxa"/>
          <w:left w:w="15" w:type="dxa"/>
          <w:bottom w:w="15" w:type="dxa"/>
          <w:right w:w="15" w:type="dxa"/>
        </w:tblCellMar>
        <w:tblLook w:val="04A0" w:firstRow="1" w:lastRow="0" w:firstColumn="1" w:lastColumn="0" w:noHBand="0" w:noVBand="1"/>
      </w:tblPr>
      <w:tblGrid>
        <w:gridCol w:w="4654"/>
        <w:gridCol w:w="8388"/>
      </w:tblGrid>
      <w:tr w:rsidR="00D4016E" w:rsidRPr="00D4016E" w14:paraId="0278F8B7" w14:textId="77777777" w:rsidTr="4538474B">
        <w:trPr>
          <w:tblHeader w:val="true"/>
        </w:trPr>
        <w:tc>
          <w:tcPr>
            <w:tcW w:w="0" w:type="auto"/>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0EBFC"/>
            <w:tcMar>
              <w:top w:w="75" w:type="dxa"/>
              <w:left w:w="60" w:type="dxa"/>
              <w:bottom w:w="75" w:type="dxa"/>
              <w:right w:w="60" w:type="dxa"/>
              <w:start w:w="90" w:type="dxa"/>
              <w:end w:w="90" w:type="dxa"/>
            </w:tcMar>
            <w:vAlign w:val="center"/>
            <w:hideMark/>
          </w:tcPr>
          <w:p>
            <w:pPr>
              <w:keepNext/>
              <w:keepLines w:val="0"/>
              <w:pageBreakBefore w:val="0"/>
              <w:widowControl w:val="0"/>
              <w:spacing w:before="0" w:after="0" w:line="240" w:lineRule="auto"/>
              <w:jc w:val="center"/>
            </w:pPr>
            <w:r>
              <w:rPr>
                <w:rFonts w:ascii="Times New Roman" w:hAnsi="Times New Roman" w:eastAsia="Times New Roman"/>
                <w:b/>
                <w:i w:val="0"/>
                <w:sz w:val="20"/>
                <w:u w:val="none"/>
              </w:rPr>
            </w:r>
            <w:r>
              <w:rPr>
                <w:rFonts w:ascii="Times New Roman" w:hAnsi="Times New Roman" w:eastAsia="Times New Roman"/>
                <w:b/>
                <w:i w:val="0"/>
                <w:sz w:val="20"/>
                <w:u w:val="none"/>
              </w:rPr>
              <w:t xml:space="preserve">Submitted By: </w:t>
            </w:r>
            <w:r>
              <w:rPr>
                <w:rFonts w:ascii="Times New Roman" w:hAnsi="Times New Roman" w:eastAsia="Times New Roman"/>
                <w:b w:val="0"/>
                <w:i w:val="0"/>
                <w:sz w:val="20"/>
                <w:u w:val="none"/>
              </w:rPr>
              <w:t>CDC</w:t>
            </w:r>
          </w:p>
        </w:tc>
      </w:tr>
      <w:tr w:rsidR="00D4016E" w:rsidRPr="00D4016E" w14:paraId="349FAD1F" w14:textId="77777777" w:rsidTr="4538474B">
        <w:tc>
          <w:tcPr>
            <w:tcW w:w="0" w:type="auto"/>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0EBFC"/>
            <w:tcMar>
              <w:top w:w="75" w:type="dxa"/>
              <w:left w:w="60" w:type="dxa"/>
              <w:bottom w:w="75" w:type="dxa"/>
              <w:right w:w="60" w:type="dxa"/>
              <w:start w:w="90" w:type="dxa"/>
              <w:end w:w="90" w:type="dxa"/>
            </w:tcMar>
            <w:vAlign w:val="center"/>
            <w:hideMark/>
          </w:tcPr>
          <w:p>
            <w:pPr>
              <w:keepNext/>
              <w:keepLines w:val="0"/>
              <w:pageBreakBefore w:val="0"/>
              <w:widowControl w:val="0"/>
              <w:spacing w:before="0" w:after="0" w:line="240" w:lineRule="auto"/>
              <w:jc w:val="center"/>
            </w:pPr>
            <w:r>
              <w:rPr>
                <w:rFonts w:ascii="Times New Roman" w:hAnsi="Times New Roman" w:eastAsia="Times New Roman"/>
                <w:b/>
                <w:i w:val="0"/>
                <w:sz w:val="20"/>
                <w:u w:val="none"/>
              </w:rPr>
              <w:t>Data Element Information</w:t>
            </w:r>
          </w:p>
        </w:tc>
      </w:tr>
      <w:tr w:rsidR="004424DE" w:rsidRPr="00D4016E" w14:paraId="10BA592F" w14:textId="77777777" w:rsidTr="4538474B">
        <w:tc>
          <w:tcPr>
            <w:tcW w:w="0" w:type="auto"/>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0EBFC"/>
            <w:tcMar>
              <w:top w:w="75" w:type="dxa"/>
              <w:left w:w="60" w:type="dxa"/>
              <w:bottom w:w="75" w:type="dxa"/>
              <w:right w:w="60" w:type="dxa"/>
              <w:start w:w="90" w:type="dxa"/>
              <w:end w:w="90" w:type="dxa"/>
            </w:tcMar>
            <w:vAlign w:val="center"/>
          </w:tcPr>
          <w:p>
            <w:pPr>
              <w:keepNext/>
              <w:keepLines w:val="0"/>
              <w:pageBreakBefore w:val="0"/>
              <w:widowControl w:val="0"/>
              <w:spacing w:before="0" w:after="0" w:line="240" w:lineRule="auto"/>
              <w:jc w:val="center"/>
            </w:pPr>
            <w:r>
              <w:rPr>
                <w:rFonts w:ascii="Times New Roman" w:hAnsi="Times New Roman" w:eastAsia="Times New Roman"/>
                <w:b/>
                <w:i w:val="0"/>
                <w:sz w:val="20"/>
                <w:u w:val="none"/>
              </w:rPr>
              <w:t>Data Element Name: Laboratory Test Performed Date</w:t>
            </w:r>
          </w:p>
        </w:tc>
      </w:tr>
      <w:tr w:rsidR="00D4016E" w:rsidRPr="00D4016E" w14:paraId="6CC3235D" w14:textId="77777777" w:rsidTr="4538474B">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1F1F1"/>
            <w:tcMar>
              <w:top w:w="90" w:type="dxa"/>
              <w:left w:w="60" w:type="dxa"/>
              <w:bottom w:w="90" w:type="dxa"/>
              <w:right w:w="60" w:type="dxa"/>
              <w:start w:w="90" w:type="dxa"/>
              <w:end w:w="90" w:type="dxa"/>
            </w:tcMar>
            <w:vAlign w:val="top"/>
            <w:hideMark/>
          </w:tcPr>
          <w:p>
            <w:pPr>
              <w:keepNext w:val="0"/>
              <w:keepLines w:val="0"/>
              <w:pageBreakBefore w:val="0"/>
              <w:widowControl w:val="0"/>
              <w:spacing w:before="0" w:after="0" w:line="240" w:lineRule="auto"/>
            </w:pPr>
            <w:r>
              <w:rPr>
                <w:rFonts w:ascii="Times New Roman" w:hAnsi="Times New Roman" w:eastAsia="Times New Roman"/>
                <w:b w:val="0"/>
                <w:i w:val="0"/>
                <w:sz w:val="18"/>
                <w:u w:val="none"/>
              </w:rPr>
              <w:t>Data Element Description</w:t>
            </w:r>
          </w:p>
        </w:tc>
        <w:tc>
          <w:tcPr>
            <w:tcW w:w="651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Mar>
              <w:top w:w="90" w:type="dxa"/>
              <w:left w:w="60" w:type="dxa"/>
              <w:bottom w:w="90" w:type="dxa"/>
              <w:right w:w="60" w:type="dxa"/>
              <w:start w:w="90" w:type="dxa"/>
              <w:end w:w="90" w:type="dxa"/>
            </w:tcMar>
            <w:vAlign w:val="top"/>
            <w:hideMark/>
          </w:tcPr>
          <w:p>
            <w:pPr>
              <w:keepNext w:val="0"/>
              <w:keepLines w:val="0"/>
              <w:pageBreakBefore w:val="0"/>
              <w:widowControl w:val="0"/>
              <w:spacing w:before="0" w:after="50" w:line="240" w:lineRule="auto"/>
            </w:pPr>
            <w:r>
              <w:rPr>
                <w:rFonts w:ascii="Times New Roman" w:hAnsi="Times New Roman" w:eastAsia="Times New Roman"/>
                <w:b/>
                <w:i w:val="0"/>
                <w:sz w:val="19"/>
                <w:u w:val="none"/>
              </w:rPr>
              <w:t xml:space="preserve">Proposed definition. </w:t>
            </w:r>
            <w:r>
              <w:rPr>
                <w:rFonts w:ascii="Times New Roman" w:hAnsi="Times New Roman" w:eastAsia="Times New Roman"/>
                <w:b w:val="0"/>
                <w:i w:val="0"/>
                <w:sz w:val="19"/>
                <w:u w:val="none"/>
              </w:rPr>
              <w:t>Date and, when available, time when the analytical result was generated by an instrument or, for manual testing, when the laboratory professional completed and recorded the analytical determination. The timestamp is associated with the individual laboratory result or component. For repeat analysis or reanalysis, each run or result version should retain the performed timestamp that applies to that analytical determination.</w:t>
            </w:r>
            <w:r>
              <w:rPr>
                <w:rFonts w:ascii="Times New Roman" w:hAnsi="Times New Roman" w:eastAsia="Times New Roman"/>
                <w:b w:val="0"/>
                <w:i w:val="0"/>
                <w:sz w:val="19"/>
                <w:u w:val="none"/>
              </w:rPr>
              <w:t xml:space="preserve"> [4,6,8,10]</w:t>
            </w:r>
          </w:p>
          <w:p>
            <w:pPr>
              <w:keepNext w:val="0"/>
              <w:keepLines w:val="0"/>
              <w:pageBreakBefore w:val="0"/>
              <w:widowControl w:val="0"/>
              <w:spacing w:before="0" w:after="50" w:line="240" w:lineRule="auto"/>
            </w:pPr>
            <w:r>
              <w:rPr>
                <w:rFonts w:ascii="Times New Roman" w:hAnsi="Times New Roman" w:eastAsia="Times New Roman"/>
                <w:b/>
                <w:i w:val="0"/>
                <w:sz w:val="19"/>
                <w:u w:val="none"/>
              </w:rPr>
              <w:t xml:space="preserve">Distinct event. </w:t>
            </w:r>
            <w:r>
              <w:rPr>
                <w:rFonts w:ascii="Times New Roman" w:hAnsi="Times New Roman" w:eastAsia="Times New Roman"/>
                <w:b w:val="0"/>
                <w:i w:val="0"/>
                <w:sz w:val="19"/>
                <w:u w:val="none"/>
              </w:rPr>
              <w:t>Laboratory Test Performed Date and Time is not the specimen collection time, specimen receipt time, or result release time. Collection describes when the specimen left the patient; receipt describes when it entered the testing laboratory; performed or analysis time describes when the analytical result was generated; and issued or released time describes when a result version became available after review or verification. These events may be identical in a rapid bedside test but are frequently separated by minutes, hours, days, or longer in referral, microbiology, pathology, genetic, and batched testing workflows.</w:t>
            </w:r>
            <w:r>
              <w:rPr>
                <w:rFonts w:ascii="Times New Roman" w:hAnsi="Times New Roman" w:eastAsia="Times New Roman"/>
                <w:b w:val="0"/>
                <w:i w:val="0"/>
                <w:sz w:val="19"/>
                <w:u w:val="none"/>
              </w:rPr>
              <w:t xml:space="preserve"> [1-6,8-10]</w:t>
            </w:r>
          </w:p>
          <w:p>
            <w:pPr>
              <w:keepNext w:val="0"/>
              <w:keepLines w:val="0"/>
              <w:pageBreakBefore w:val="0"/>
              <w:widowControl w:val="0"/>
              <w:spacing w:before="0" w:after="50" w:line="240" w:lineRule="auto"/>
            </w:pPr>
            <w:r>
              <w:rPr>
                <w:rFonts w:ascii="Times New Roman" w:hAnsi="Times New Roman" w:eastAsia="Times New Roman"/>
                <w:b/>
                <w:i w:val="0"/>
                <w:sz w:val="19"/>
                <w:u w:val="none"/>
              </w:rPr>
              <w:t xml:space="preserve">Recommended USCDI label and usage note. </w:t>
            </w:r>
            <w:r>
              <w:rPr>
                <w:rFonts w:ascii="Times New Roman" w:hAnsi="Times New Roman" w:eastAsia="Times New Roman"/>
                <w:b w:val="0"/>
                <w:i w:val="0"/>
                <w:sz w:val="19"/>
                <w:u w:val="none"/>
              </w:rPr>
              <w:t>Retain the submitted element within the Laboratory data class and use the display name "Laboratory Test Performed Date and Time" to align with current USCDI naming conventions. If USCDI reuses the generic Performance Date and Time element, it should include an explicit laboratory usage note and mappings to HL7 v2 OBX-19 and the FHIR Observation AnalysisDateTime extension so that implementers do not substitute specimen collection or result release time.</w:t>
            </w:r>
            <w:r>
              <w:rPr>
                <w:rFonts w:ascii="Times New Roman" w:hAnsi="Times New Roman" w:eastAsia="Times New Roman"/>
                <w:b w:val="0"/>
                <w:i w:val="0"/>
                <w:sz w:val="19"/>
                <w:u w:val="none"/>
              </w:rPr>
              <w:t xml:space="preserve"> [1,4-6,21]</w:t>
            </w:r>
          </w:p>
        </w:tc>
      </w:tr>
      <w:tr w:rsidR="00D4016E" w:rsidRPr="00D4016E" w14:paraId="01F6DE1D" w14:textId="77777777" w:rsidTr="4538474B">
        <w:tc>
          <w:tcPr>
            <w:tcW w:w="0" w:type="auto"/>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0EBFC"/>
            <w:tcMar>
              <w:top w:w="75" w:type="dxa"/>
              <w:left w:w="60" w:type="dxa"/>
              <w:bottom w:w="75" w:type="dxa"/>
              <w:right w:w="60" w:type="dxa"/>
              <w:start w:w="90" w:type="dxa"/>
              <w:end w:w="90" w:type="dxa"/>
            </w:tcMar>
            <w:vAlign w:val="center"/>
            <w:hideMark/>
          </w:tcPr>
          <w:p>
            <w:pPr>
              <w:keepNext/>
              <w:keepLines w:val="0"/>
              <w:pageBreakBefore w:val="0"/>
              <w:widowControl w:val="0"/>
              <w:spacing w:before="0" w:after="0" w:line="240" w:lineRule="auto"/>
              <w:jc w:val="center"/>
            </w:pPr>
            <w:r>
              <w:rPr>
                <w:rFonts w:ascii="Times New Roman" w:hAnsi="Times New Roman" w:eastAsia="Times New Roman"/>
                <w:b/>
                <w:i w:val="0"/>
                <w:sz w:val="20"/>
                <w:u w:val="none"/>
              </w:rPr>
              <w:t>Use Case Description(s)</w:t>
            </w:r>
          </w:p>
        </w:tc>
      </w:tr>
      <w:tr w:rsidR="00D4016E" w:rsidRPr="00D4016E" w14:paraId="20806D37" w14:textId="77777777" w:rsidTr="4538474B">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1F1F1"/>
            <w:tcMar>
              <w:top w:w="90" w:type="dxa"/>
              <w:left w:w="60" w:type="dxa"/>
              <w:bottom w:w="90" w:type="dxa"/>
              <w:right w:w="60" w:type="dxa"/>
              <w:start w:w="90" w:type="dxa"/>
              <w:end w:w="90" w:type="dxa"/>
            </w:tcMar>
            <w:vAlign w:val="top"/>
            <w:hideMark/>
          </w:tcPr>
          <w:p>
            <w:pPr>
              <w:keepNext w:val="0"/>
              <w:keepLines w:val="0"/>
              <w:pageBreakBefore w:val="0"/>
              <w:widowControl w:val="0"/>
              <w:spacing w:before="0" w:after="0" w:line="240" w:lineRule="auto"/>
            </w:pPr>
            <w:r>
              <w:rPr>
                <w:rFonts w:ascii="Times New Roman" w:hAnsi="Times New Roman" w:eastAsia="Times New Roman"/>
                <w:b w:val="0"/>
                <w:i w:val="0"/>
                <w:sz w:val="18"/>
                <w:u w:val="none"/>
              </w:rPr>
              <w:t>Use Case Description</w:t>
            </w:r>
          </w:p>
        </w:tc>
        <w:tc>
          <w:tcPr>
            <w:tcW w:w="651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Mar>
              <w:top w:w="90" w:type="dxa"/>
              <w:left w:w="60" w:type="dxa"/>
              <w:bottom w:w="90" w:type="dxa"/>
              <w:right w:w="60" w:type="dxa"/>
              <w:start w:w="90" w:type="dxa"/>
              <w:end w:w="90" w:type="dxa"/>
            </w:tcMar>
            <w:vAlign w:val="top"/>
            <w:hideMark/>
          </w:tcPr>
          <w:p>
            <w:pPr>
              <w:keepNext/>
              <w:keepLines w:val="0"/>
              <w:pageBreakBefore w:val="0"/>
              <w:widowControl w:val="0"/>
              <w:spacing w:before="0" w:after="70" w:line="240" w:lineRule="auto"/>
            </w:pPr>
            <w:r>
              <w:rPr>
                <w:rFonts w:ascii="Times New Roman" w:hAnsi="Times New Roman" w:eastAsia="Times New Roman"/>
                <w:b/>
                <w:i w:val="0"/>
                <w:sz w:val="20"/>
                <w:u w:val="none"/>
              </w:rPr>
              <w:t>Why this data element is needed in addition to Specimen Collection Date and Time</w:t>
            </w:r>
          </w:p>
          <w:p>
            <w:pPr>
              <w:keepNext w:val="0"/>
              <w:keepLines w:val="0"/>
              <w:pageBreakBefore w:val="0"/>
              <w:widowControl w:val="0"/>
              <w:spacing w:before="0" w:after="50" w:line="240" w:lineRule="auto"/>
            </w:pPr>
            <w:r>
              <w:rPr>
                <w:rFonts w:ascii="Times New Roman" w:hAnsi="Times New Roman" w:eastAsia="Times New Roman"/>
                <w:b w:val="0"/>
                <w:i w:val="0"/>
                <w:sz w:val="19"/>
                <w:u w:val="none"/>
              </w:rPr>
              <w:t>USCDI v7 added Specimen Collection Date and Time specifically to represent when a specimen was obtained and explicitly distinguished that event from Performance Date and Time. Laboratory testing requires the same semantic precision for the later analytical event. Federal laboratory regulations likewise treat these events separately: the test request is expected to solicit the specimen collection date and time, while laboratory test records must include the date and time of specimen receipt and the records and dates of all specimen testing. HL7 v2 also separates the physiologically relevant observation or collection time in OBX-14 from the analytical result generation time in OBX-19. [1-4]</w:t>
            </w:r>
          </w:p>
          <w:p>
            <w:pPr>
              <w:keepNext/>
              <w:keepLines w:val="0"/>
              <w:pageBreakBefore w:val="0"/>
              <w:widowControl w:val="0"/>
              <w:spacing w:before="0" w:after="40" w:line="240" w:lineRule="auto"/>
            </w:pPr>
            <w:r>
              <w:rPr>
                <w:rFonts w:ascii="Times New Roman" w:hAnsi="Times New Roman" w:eastAsia="Times New Roman"/>
                <w:b/>
                <w:i w:val="0"/>
                <w:sz w:val="19"/>
                <w:u w:val="none"/>
              </w:rPr>
              <w:t>A complete laboratory chronology contains at least four different clocks:</w:t>
            </w:r>
          </w:p>
          <w:p>
            <w:pPr>
              <w:keepNext w:val="0"/>
              <w:keepLines w:val="0"/>
              <w:pageBreakBefore w:val="0"/>
              <w:widowControl w:val="0"/>
              <w:spacing w:before="0" w:after="36" w:line="240" w:lineRule="auto"/>
              <w:ind w:left="346" w:hanging="230"/>
            </w:pPr>
            <w:r>
              <w:rPr>
                <w:rFonts w:ascii="Times New Roman" w:hAnsi="Times New Roman" w:eastAsia="Times New Roman"/>
                <w:b/>
                <w:i w:val="0"/>
                <w:sz w:val="19"/>
                <w:u w:val="none"/>
              </w:rPr>
              <w:t xml:space="preserve">- </w:t>
            </w:r>
            <w:r>
              <w:rPr>
                <w:rFonts w:ascii="Times New Roman" w:hAnsi="Times New Roman" w:eastAsia="Times New Roman"/>
                <w:b w:val="0"/>
                <w:i w:val="0"/>
                <w:sz w:val="19"/>
                <w:u w:val="none"/>
              </w:rPr>
              <w:t>Specimen Collection Date and Time - when the specimen was obtained from the patient; this anchors the result to the patient's physiologic state. [1,2,4,5]</w:t>
            </w:r>
          </w:p>
          <w:p>
            <w:pPr>
              <w:keepNext w:val="0"/>
              <w:keepLines w:val="0"/>
              <w:pageBreakBefore w:val="0"/>
              <w:widowControl w:val="0"/>
              <w:spacing w:before="0" w:after="36" w:line="240" w:lineRule="auto"/>
              <w:ind w:left="346" w:hanging="230"/>
            </w:pPr>
            <w:r>
              <w:rPr>
                <w:rFonts w:ascii="Times New Roman" w:hAnsi="Times New Roman" w:eastAsia="Times New Roman"/>
                <w:b/>
                <w:i w:val="0"/>
                <w:sz w:val="19"/>
                <w:u w:val="none"/>
              </w:rPr>
              <w:t xml:space="preserve">- </w:t>
            </w:r>
            <w:r>
              <w:rPr>
                <w:rFonts w:ascii="Times New Roman" w:hAnsi="Times New Roman" w:eastAsia="Times New Roman"/>
                <w:b w:val="0"/>
                <w:i w:val="0"/>
                <w:sz w:val="19"/>
                <w:u w:val="none"/>
              </w:rPr>
              <w:t>Specimen Receipt Date and Time - when the testing laboratory received the specimen; this supports chain of custody, acceptability, transport, and laboratory queue analysis. [3]</w:t>
            </w:r>
          </w:p>
          <w:p>
            <w:pPr>
              <w:keepNext w:val="0"/>
              <w:keepLines w:val="0"/>
              <w:pageBreakBefore w:val="0"/>
              <w:widowControl w:val="0"/>
              <w:spacing w:before="0" w:after="36" w:line="240" w:lineRule="auto"/>
              <w:ind w:left="346" w:hanging="230"/>
            </w:pPr>
            <w:r>
              <w:rPr>
                <w:rFonts w:ascii="Times New Roman" w:hAnsi="Times New Roman" w:eastAsia="Times New Roman"/>
                <w:b/>
                <w:i w:val="0"/>
                <w:sz w:val="19"/>
                <w:u w:val="none"/>
              </w:rPr>
              <w:t xml:space="preserve">- </w:t>
            </w:r>
            <w:r>
              <w:rPr>
                <w:rFonts w:ascii="Times New Roman" w:hAnsi="Times New Roman" w:eastAsia="Times New Roman"/>
                <w:b w:val="0"/>
                <w:i w:val="0"/>
                <w:sz w:val="19"/>
                <w:u w:val="none"/>
              </w:rPr>
              <w:t>Laboratory Test Performed Date and Time - when the instrument or technologist generated the analytical result; this anchors the result to the actual analysis or determination. [4,6,8-10]</w:t>
            </w:r>
          </w:p>
          <w:p>
            <w:pPr>
              <w:keepNext w:val="0"/>
              <w:keepLines w:val="0"/>
              <w:pageBreakBefore w:val="0"/>
              <w:widowControl w:val="0"/>
              <w:spacing w:before="0" w:after="36" w:line="240" w:lineRule="auto"/>
              <w:ind w:left="346" w:hanging="230"/>
            </w:pPr>
            <w:r>
              <w:rPr>
                <w:rFonts w:ascii="Times New Roman" w:hAnsi="Times New Roman" w:eastAsia="Times New Roman"/>
                <w:b/>
                <w:i w:val="0"/>
                <w:sz w:val="19"/>
                <w:u w:val="none"/>
              </w:rPr>
              <w:t xml:space="preserve">- </w:t>
            </w:r>
            <w:r>
              <w:rPr>
                <w:rFonts w:ascii="Times New Roman" w:hAnsi="Times New Roman" w:eastAsia="Times New Roman"/>
                <w:b w:val="0"/>
                <w:i w:val="0"/>
                <w:sz w:val="19"/>
                <w:u w:val="none"/>
              </w:rPr>
              <w:t>Result Issued or Released Date and Time - when that result version was made available to providers, generally after review or verification. [5,19,20]</w:t>
            </w:r>
          </w:p>
          <w:p>
            <w:pPr>
              <w:keepNext w:val="0"/>
              <w:keepLines w:val="0"/>
              <w:pageBreakBefore w:val="0"/>
              <w:widowControl w:val="0"/>
              <w:spacing w:before="0" w:after="50" w:line="240" w:lineRule="auto"/>
            </w:pPr>
            <w:r>
              <w:rPr>
                <w:rFonts w:ascii="Times New Roman" w:hAnsi="Times New Roman" w:eastAsia="Times New Roman"/>
                <w:b w:val="0"/>
                <w:i w:val="0"/>
                <w:sz w:val="19"/>
                <w:u w:val="none"/>
              </w:rPr>
              <w:t>Specimen collection alone cannot calculate the collection-to-analysis holding interval, isolate receipt-to-analysis delay from analysis-to-release delay, identify which analytical run produced a value, distinguish reanalysis of an older specimen from testing of a newly collected specimen, or determine whether an analytical result had been generated before a later clinical action. Conversely, performed time cannot replace collection time because it does not describe the patient's physiologic state at sampling. Both timestamps are therefore necessary and complementary. [3-6,8-10]</w:t>
            </w:r>
          </w:p>
          <w:p>
            <w:pPr>
              <w:keepNext/>
              <w:keepLines w:val="0"/>
              <w:pageBreakBefore w:val="0"/>
              <w:widowControl w:val="0"/>
              <w:spacing w:before="40" w:after="60" w:line="240" w:lineRule="auto"/>
            </w:pPr>
            <w:r>
              <w:rPr>
                <w:rFonts w:ascii="Times New Roman" w:hAnsi="Times New Roman" w:eastAsia="Times New Roman"/>
                <w:b/>
                <w:i w:val="0"/>
                <w:sz w:val="20"/>
                <w:u w:val="none"/>
              </w:rPr>
              <w:t>Broad ecosystem use cases</w:t>
            </w:r>
          </w:p>
          <w:p>
            <w:pPr>
              <w:keepNext w:val="0"/>
              <w:keepLines w:val="0"/>
              <w:pageBreakBefore w:val="0"/>
              <w:widowControl w:val="0"/>
              <w:spacing w:before="0" w:after="48" w:line="240" w:lineRule="auto"/>
              <w:ind w:left="317" w:hanging="317"/>
            </w:pPr>
            <w:r>
              <w:rPr>
                <w:rFonts w:ascii="Times New Roman" w:hAnsi="Times New Roman" w:eastAsia="Times New Roman"/>
                <w:b/>
                <w:i w:val="0"/>
                <w:sz w:val="19"/>
                <w:u w:val="none"/>
              </w:rPr>
              <w:t xml:space="preserve">1. </w:t>
            </w:r>
            <w:r>
              <w:rPr>
                <w:rFonts w:ascii="Times New Roman" w:hAnsi="Times New Roman" w:eastAsia="Times New Roman"/>
                <w:b/>
                <w:i w:val="0"/>
                <w:sz w:val="19"/>
                <w:u w:val="none"/>
              </w:rPr>
              <w:t xml:space="preserve">Specimen integrity, stability, and result validity. </w:t>
            </w:r>
            <w:r>
              <w:rPr>
                <w:rFonts w:ascii="Times New Roman" w:hAnsi="Times New Roman" w:eastAsia="Times New Roman"/>
                <w:b w:val="0"/>
                <w:i w:val="0"/>
                <w:sz w:val="19"/>
                <w:u w:val="none"/>
              </w:rPr>
              <w:t>Collection time plus performed time makes the actual pre-analytical holding interval computable. This is necessary to determine whether a specimen was analyzed within validated stability limits and whether delay could have altered the result. Published examples include delayed room-temperature processing that changed blood-culture time-to-positivity and staining results, and lactate stability that depends on the draw-to-analysis interval and storage conditions.</w:t>
            </w:r>
            <w:r>
              <w:rPr>
                <w:rFonts w:ascii="Times New Roman" w:hAnsi="Times New Roman" w:eastAsia="Times New Roman"/>
                <w:b w:val="0"/>
                <w:i w:val="0"/>
                <w:sz w:val="19"/>
                <w:u w:val="none"/>
              </w:rPr>
              <w:t xml:space="preserve"> [16,17]</w:t>
            </w:r>
          </w:p>
          <w:p>
            <w:pPr>
              <w:keepNext w:val="0"/>
              <w:keepLines w:val="0"/>
              <w:pageBreakBefore w:val="0"/>
              <w:widowControl w:val="0"/>
              <w:spacing w:before="0" w:after="48" w:line="240" w:lineRule="auto"/>
              <w:ind w:left="317" w:hanging="317"/>
            </w:pPr>
            <w:r>
              <w:rPr>
                <w:rFonts w:ascii="Times New Roman" w:hAnsi="Times New Roman" w:eastAsia="Times New Roman"/>
                <w:b/>
                <w:i w:val="0"/>
                <w:sz w:val="19"/>
                <w:u w:val="none"/>
              </w:rPr>
              <w:t xml:space="preserve">2. </w:t>
            </w:r>
            <w:r>
              <w:rPr>
                <w:rFonts w:ascii="Times New Roman" w:hAnsi="Times New Roman" w:eastAsia="Times New Roman"/>
                <w:b/>
                <w:i w:val="0"/>
                <w:sz w:val="19"/>
                <w:u w:val="none"/>
              </w:rPr>
              <w:t xml:space="preserve">Turnaround-time measurement and delay localization. </w:t>
            </w:r>
            <w:r>
              <w:rPr>
                <w:rFonts w:ascii="Times New Roman" w:hAnsi="Times New Roman" w:eastAsia="Times New Roman"/>
                <w:b w:val="0"/>
                <w:i w:val="0"/>
                <w:sz w:val="19"/>
                <w:u w:val="none"/>
              </w:rPr>
              <w:t>Laboratories need distinct timestamps to separate transport and accessioning delay, queue or analyzer delay, and review or release delay. A single collection timestamp and a final report timestamp can show that a result was late, but not where the delay occurred or which team, interface, instrument, or workflow should be improved. Laboratory turnaround time is a longstanding quality indicator.</w:t>
            </w:r>
            <w:r>
              <w:rPr>
                <w:rFonts w:ascii="Times New Roman" w:hAnsi="Times New Roman" w:eastAsia="Times New Roman"/>
                <w:b w:val="0"/>
                <w:i w:val="0"/>
                <w:sz w:val="19"/>
                <w:u w:val="none"/>
              </w:rPr>
              <w:t xml:space="preserve"> [3,13]</w:t>
            </w:r>
          </w:p>
          <w:p>
            <w:pPr>
              <w:keepNext w:val="0"/>
              <w:keepLines w:val="0"/>
              <w:pageBreakBefore w:val="0"/>
              <w:widowControl w:val="0"/>
              <w:spacing w:before="0" w:after="48" w:line="240" w:lineRule="auto"/>
              <w:ind w:left="317" w:hanging="317"/>
            </w:pPr>
            <w:r>
              <w:rPr>
                <w:rFonts w:ascii="Times New Roman" w:hAnsi="Times New Roman" w:eastAsia="Times New Roman"/>
                <w:b/>
                <w:i w:val="0"/>
                <w:sz w:val="19"/>
                <w:u w:val="none"/>
              </w:rPr>
              <w:t xml:space="preserve">3. </w:t>
            </w:r>
            <w:r>
              <w:rPr>
                <w:rFonts w:ascii="Times New Roman" w:hAnsi="Times New Roman" w:eastAsia="Times New Roman"/>
                <w:b/>
                <w:i w:val="0"/>
                <w:sz w:val="19"/>
                <w:u w:val="none"/>
              </w:rPr>
              <w:t xml:space="preserve">Emergency department and acute-care throughput. </w:t>
            </w:r>
            <w:r>
              <w:rPr>
                <w:rFonts w:ascii="Times New Roman" w:hAnsi="Times New Roman" w:eastAsia="Times New Roman"/>
                <w:b w:val="0"/>
                <w:i w:val="0"/>
                <w:sz w:val="19"/>
                <w:u w:val="none"/>
              </w:rPr>
              <w:t>Faster laboratory turnaround is associated with shorter emergency-department length of stay. A large retrospective cohort found that both time to testing and laboratory turnaround were positively associated with ED length of stay and that the laboratory stage comprised most total turnaround time. Performed time permits a more actionable split between analytical processing and subsequent result release.</w:t>
            </w:r>
            <w:r>
              <w:rPr>
                <w:rFonts w:ascii="Times New Roman" w:hAnsi="Times New Roman" w:eastAsia="Times New Roman"/>
                <w:b w:val="0"/>
                <w:i w:val="0"/>
                <w:sz w:val="19"/>
                <w:u w:val="none"/>
              </w:rPr>
              <w:t xml:space="preserve"> [14,15]</w:t>
            </w:r>
          </w:p>
          <w:p>
            <w:pPr>
              <w:keepNext w:val="0"/>
              <w:keepLines w:val="0"/>
              <w:pageBreakBefore w:val="0"/>
              <w:widowControl w:val="0"/>
              <w:spacing w:before="0" w:after="48" w:line="240" w:lineRule="auto"/>
              <w:ind w:left="317" w:hanging="317"/>
            </w:pPr>
            <w:r>
              <w:rPr>
                <w:rFonts w:ascii="Times New Roman" w:hAnsi="Times New Roman" w:eastAsia="Times New Roman"/>
                <w:b/>
                <w:i w:val="0"/>
                <w:sz w:val="19"/>
                <w:u w:val="none"/>
              </w:rPr>
              <w:t xml:space="preserve">4. </w:t>
            </w:r>
            <w:r>
              <w:rPr>
                <w:rFonts w:ascii="Times New Roman" w:hAnsi="Times New Roman" w:eastAsia="Times New Roman"/>
                <w:b/>
                <w:i w:val="0"/>
                <w:sz w:val="19"/>
                <w:u w:val="none"/>
              </w:rPr>
              <w:t xml:space="preserve">Microbiology time-to-positivity and antimicrobial stewardship. </w:t>
            </w:r>
            <w:r>
              <w:rPr>
                <w:rFonts w:ascii="Times New Roman" w:hAnsi="Times New Roman" w:eastAsia="Times New Roman"/>
                <w:b w:val="0"/>
                <w:i w:val="0"/>
                <w:sz w:val="19"/>
                <w:u w:val="none"/>
              </w:rPr>
              <w:t>Microbiology decisions depend on accurately ordered laboratory events, including collection, loading or incubation, analytical detection, and final reporting. In one study, 98 percent of aerobic bloodstream infections were detected by 48 hours, supporting antibiotic de-escalation decisions. Exchange of the analytical timestamp improves interpretation of positivity timing and investigation of pre-analytical delay; it does not replace more specific culture incubation or detection timestamps where those are available.</w:t>
            </w:r>
            <w:r>
              <w:rPr>
                <w:rFonts w:ascii="Times New Roman" w:hAnsi="Times New Roman" w:eastAsia="Times New Roman"/>
                <w:b w:val="0"/>
                <w:i w:val="0"/>
                <w:sz w:val="19"/>
                <w:u w:val="none"/>
              </w:rPr>
              <w:t xml:space="preserve"> [16,18]</w:t>
            </w:r>
          </w:p>
          <w:p>
            <w:pPr>
              <w:keepNext w:val="0"/>
              <w:keepLines w:val="0"/>
              <w:pageBreakBefore w:val="0"/>
              <w:widowControl w:val="0"/>
              <w:spacing w:before="0" w:after="48" w:line="240" w:lineRule="auto"/>
              <w:ind w:left="317" w:hanging="317"/>
            </w:pPr>
            <w:r>
              <w:rPr>
                <w:rFonts w:ascii="Times New Roman" w:hAnsi="Times New Roman" w:eastAsia="Times New Roman"/>
                <w:b/>
                <w:i w:val="0"/>
                <w:sz w:val="19"/>
                <w:u w:val="none"/>
              </w:rPr>
              <w:t xml:space="preserve">5. </w:t>
            </w:r>
            <w:r>
              <w:rPr>
                <w:rFonts w:ascii="Times New Roman" w:hAnsi="Times New Roman" w:eastAsia="Times New Roman"/>
                <w:b/>
                <w:i w:val="0"/>
                <w:sz w:val="19"/>
                <w:u w:val="none"/>
              </w:rPr>
              <w:t xml:space="preserve">Repeat testing, reruns, dilution, confirmation, and reanalysis. </w:t>
            </w:r>
            <w:r>
              <w:rPr>
                <w:rFonts w:ascii="Times New Roman" w:hAnsi="Times New Roman" w:eastAsia="Times New Roman"/>
                <w:b w:val="0"/>
                <w:i w:val="0"/>
                <w:sz w:val="19"/>
                <w:u w:val="none"/>
              </w:rPr>
              <w:t>The same specimen may be tested more than once because of instrument flags, dilution protocols, confirmatory methods, quality checks, genetic reanalysis, or a corrected result. Collection time remains unchanged, so it cannot identify which run generated which value. A result-level performed timestamp distinguishes the original determination from later reanalysis and supports review of changed or superseded results.</w:t>
            </w:r>
            <w:r>
              <w:rPr>
                <w:rFonts w:ascii="Times New Roman" w:hAnsi="Times New Roman" w:eastAsia="Times New Roman"/>
                <w:b w:val="0"/>
                <w:i w:val="0"/>
                <w:sz w:val="19"/>
                <w:u w:val="none"/>
              </w:rPr>
              <w:t xml:space="preserve"> [8,10]</w:t>
            </w:r>
          </w:p>
          <w:p>
            <w:pPr>
              <w:keepNext w:val="0"/>
              <w:keepLines w:val="0"/>
              <w:pageBreakBefore w:val="0"/>
              <w:widowControl w:val="0"/>
              <w:spacing w:before="0" w:after="48" w:line="240" w:lineRule="auto"/>
              <w:ind w:left="317" w:hanging="317"/>
            </w:pPr>
            <w:r>
              <w:rPr>
                <w:rFonts w:ascii="Times New Roman" w:hAnsi="Times New Roman" w:eastAsia="Times New Roman"/>
                <w:b/>
                <w:i w:val="0"/>
                <w:sz w:val="19"/>
                <w:u w:val="none"/>
              </w:rPr>
              <w:t xml:space="preserve">6. </w:t>
            </w:r>
            <w:r>
              <w:rPr>
                <w:rFonts w:ascii="Times New Roman" w:hAnsi="Times New Roman" w:eastAsia="Times New Roman"/>
                <w:b/>
                <w:i w:val="0"/>
                <w:sz w:val="19"/>
                <w:u w:val="none"/>
              </w:rPr>
              <w:t xml:space="preserve">Panels, components, reflex tests, add-on tests, and multi-stage workflows. </w:t>
            </w:r>
            <w:r>
              <w:rPr>
                <w:rFonts w:ascii="Times New Roman" w:hAnsi="Times New Roman" w:eastAsia="Times New Roman"/>
                <w:b w:val="0"/>
                <w:i w:val="0"/>
                <w:sz w:val="19"/>
                <w:u w:val="none"/>
              </w:rPr>
              <w:t>Components under one order or report may be analyzed at different times, and reflex or add-on tests may occur hours or days after the initial panel. HL7 v2 permits observation-level dates because measurements under one report can have different times. The performed timestamp should therefore be carried at the result or component level, not only at order or report level.</w:t>
            </w:r>
            <w:r>
              <w:rPr>
                <w:rFonts w:ascii="Times New Roman" w:hAnsi="Times New Roman" w:eastAsia="Times New Roman"/>
                <w:b w:val="0"/>
                <w:i w:val="0"/>
                <w:sz w:val="19"/>
                <w:u w:val="none"/>
              </w:rPr>
              <w:t xml:space="preserve"> [4,10]</w:t>
            </w:r>
          </w:p>
          <w:p>
            <w:pPr>
              <w:keepNext w:val="0"/>
              <w:keepLines w:val="0"/>
              <w:pageBreakBefore w:val="0"/>
              <w:widowControl w:val="0"/>
              <w:spacing w:before="0" w:after="48" w:line="240" w:lineRule="auto"/>
              <w:ind w:left="317" w:hanging="317"/>
            </w:pPr>
            <w:r>
              <w:rPr>
                <w:rFonts w:ascii="Times New Roman" w:hAnsi="Times New Roman" w:eastAsia="Times New Roman"/>
                <w:b/>
                <w:i w:val="0"/>
                <w:sz w:val="19"/>
                <w:u w:val="none"/>
              </w:rPr>
              <w:t xml:space="preserve">7. </w:t>
            </w:r>
            <w:r>
              <w:rPr>
                <w:rFonts w:ascii="Times New Roman" w:hAnsi="Times New Roman" w:eastAsia="Times New Roman"/>
                <w:b/>
                <w:i w:val="0"/>
                <w:sz w:val="19"/>
                <w:u w:val="none"/>
              </w:rPr>
              <w:t xml:space="preserve">Result freshness before medications and procedures. </w:t>
            </w:r>
            <w:r>
              <w:rPr>
                <w:rFonts w:ascii="Times New Roman" w:hAnsi="Times New Roman" w:eastAsia="Times New Roman"/>
                <w:b w:val="0"/>
                <w:i w:val="0"/>
                <w:sz w:val="19"/>
                <w:u w:val="none"/>
              </w:rPr>
              <w:t>Clinical decision support and care teams must distinguish a newly analyzed result from an older specimen result that was merely transmitted, reconciled, or re-released later. Stakeholders cite kidney-function testing before contrast imaging or selected medications as a concrete example. Collection time establishes physiologic context; performed time establishes when the analytical determination actually occurred; issued time establishes when it became available.</w:t>
            </w:r>
            <w:r>
              <w:rPr>
                <w:rFonts w:ascii="Times New Roman" w:hAnsi="Times New Roman" w:eastAsia="Times New Roman"/>
                <w:b w:val="0"/>
                <w:i w:val="0"/>
                <w:sz w:val="19"/>
                <w:u w:val="none"/>
              </w:rPr>
              <w:t xml:space="preserve"> [5,6,8]</w:t>
            </w:r>
          </w:p>
          <w:p>
            <w:pPr>
              <w:keepNext w:val="0"/>
              <w:keepLines w:val="0"/>
              <w:pageBreakBefore w:val="0"/>
              <w:widowControl w:val="0"/>
              <w:spacing w:before="0" w:after="48" w:line="240" w:lineRule="auto"/>
              <w:ind w:left="317" w:hanging="317"/>
            </w:pPr>
            <w:r>
              <w:rPr>
                <w:rFonts w:ascii="Times New Roman" w:hAnsi="Times New Roman" w:eastAsia="Times New Roman"/>
                <w:b/>
                <w:i w:val="0"/>
                <w:sz w:val="19"/>
                <w:u w:val="none"/>
              </w:rPr>
              <w:t xml:space="preserve">8. </w:t>
            </w:r>
            <w:r>
              <w:rPr>
                <w:rFonts w:ascii="Times New Roman" w:hAnsi="Times New Roman" w:eastAsia="Times New Roman"/>
                <w:b/>
                <w:i w:val="0"/>
                <w:sz w:val="19"/>
                <w:u w:val="none"/>
              </w:rPr>
              <w:t xml:space="preserve">Transfusion medicine and blood-bank timing. </w:t>
            </w:r>
            <w:r>
              <w:rPr>
                <w:rFonts w:ascii="Times New Roman" w:hAnsi="Times New Roman" w:eastAsia="Times New Roman"/>
                <w:b w:val="0"/>
                <w:i w:val="0"/>
                <w:sz w:val="19"/>
                <w:u w:val="none"/>
              </w:rPr>
              <w:t>Pretransfusion testing and cross-institution blood-bank workflows depend on knowing when testing was actually conducted, especially when specimens are reused, testing is repeated, or a patient is transferred. Stakeholders specifically identify crossmatch timing as a high-value use case for a distinct performed timestamp.</w:t>
            </w:r>
            <w:r>
              <w:rPr>
                <w:rFonts w:ascii="Times New Roman" w:hAnsi="Times New Roman" w:eastAsia="Times New Roman"/>
                <w:b w:val="0"/>
                <w:i w:val="0"/>
                <w:sz w:val="19"/>
                <w:u w:val="none"/>
              </w:rPr>
              <w:t xml:space="preserve"> [8]</w:t>
            </w:r>
          </w:p>
          <w:p>
            <w:pPr>
              <w:keepNext w:val="0"/>
              <w:keepLines w:val="0"/>
              <w:pageBreakBefore w:val="0"/>
              <w:widowControl w:val="0"/>
              <w:spacing w:before="0" w:after="48" w:line="240" w:lineRule="auto"/>
              <w:ind w:left="317" w:hanging="317"/>
            </w:pPr>
            <w:r>
              <w:rPr>
                <w:rFonts w:ascii="Times New Roman" w:hAnsi="Times New Roman" w:eastAsia="Times New Roman"/>
                <w:b/>
                <w:i w:val="0"/>
                <w:sz w:val="19"/>
                <w:u w:val="none"/>
              </w:rPr>
              <w:t xml:space="preserve">9. </w:t>
            </w:r>
            <w:r>
              <w:rPr>
                <w:rFonts w:ascii="Times New Roman" w:hAnsi="Times New Roman" w:eastAsia="Times New Roman"/>
                <w:b/>
                <w:i w:val="0"/>
                <w:sz w:val="19"/>
                <w:u w:val="none"/>
              </w:rPr>
              <w:t xml:space="preserve">Time-critical protocols and quality measurement. </w:t>
            </w:r>
            <w:r>
              <w:rPr>
                <w:rFonts w:ascii="Times New Roman" w:hAnsi="Times New Roman" w:eastAsia="Times New Roman"/>
                <w:b w:val="0"/>
                <w:i w:val="0"/>
                <w:sz w:val="19"/>
                <w:u w:val="none"/>
              </w:rPr>
              <w:t>Stroke, myocardial infarction, sepsis, toxicology, and other urgent pathways are evaluated against time windows. Collection and release times alone cannot distinguish analytical delay from verification or interface delay. Stakeholders identify stroke and heart-attack protocol adherence as examples in which performed time provides necessary process evidence.</w:t>
            </w:r>
            <w:r>
              <w:rPr>
                <w:rFonts w:ascii="Times New Roman" w:hAnsi="Times New Roman" w:eastAsia="Times New Roman"/>
                <w:b w:val="0"/>
                <w:i w:val="0"/>
                <w:sz w:val="19"/>
                <w:u w:val="none"/>
              </w:rPr>
              <w:t xml:space="preserve"> [8,13-15]</w:t>
            </w:r>
          </w:p>
          <w:p>
            <w:pPr>
              <w:keepNext w:val="0"/>
              <w:keepLines w:val="0"/>
              <w:pageBreakBefore w:val="0"/>
              <w:widowControl w:val="0"/>
              <w:spacing w:before="0" w:after="48" w:line="240" w:lineRule="auto"/>
              <w:ind w:left="317" w:hanging="317"/>
            </w:pPr>
            <w:r>
              <w:rPr>
                <w:rFonts w:ascii="Times New Roman" w:hAnsi="Times New Roman" w:eastAsia="Times New Roman"/>
                <w:b/>
                <w:i w:val="0"/>
                <w:sz w:val="19"/>
                <w:u w:val="none"/>
              </w:rPr>
              <w:t xml:space="preserve">10. </w:t>
            </w:r>
            <w:r>
              <w:rPr>
                <w:rFonts w:ascii="Times New Roman" w:hAnsi="Times New Roman" w:eastAsia="Times New Roman"/>
                <w:b/>
                <w:i w:val="0"/>
                <w:sz w:val="19"/>
                <w:u w:val="none"/>
              </w:rPr>
              <w:t xml:space="preserve">Point-of-care and bedside testing. </w:t>
            </w:r>
            <w:r>
              <w:rPr>
                <w:rFonts w:ascii="Times New Roman" w:hAnsi="Times New Roman" w:eastAsia="Times New Roman"/>
                <w:b w:val="0"/>
                <w:i w:val="0"/>
                <w:sz w:val="19"/>
                <w:u w:val="none"/>
              </w:rPr>
              <w:t>For bedside glucose, blood gas, coagulation, pregnancy, infectious-disease, and other point-of-care tests, the performed time is the moment the device or operator produced the observation. It may differ from the time the result is later docked, interfaced, reconciled, or entered into the EHR. CDC stakeholder comments specifically describe bedside test time as the performed timestamp.</w:t>
            </w:r>
            <w:r>
              <w:rPr>
                <w:rFonts w:ascii="Times New Roman" w:hAnsi="Times New Roman" w:eastAsia="Times New Roman"/>
                <w:b w:val="0"/>
                <w:i w:val="0"/>
                <w:sz w:val="19"/>
                <w:u w:val="none"/>
              </w:rPr>
              <w:t xml:space="preserve"> [9]</w:t>
            </w:r>
          </w:p>
          <w:p>
            <w:pPr>
              <w:keepNext w:val="0"/>
              <w:keepLines w:val="0"/>
              <w:pageBreakBefore w:val="0"/>
              <w:widowControl w:val="0"/>
              <w:spacing w:before="0" w:after="48" w:line="240" w:lineRule="auto"/>
              <w:ind w:left="317" w:hanging="317"/>
            </w:pPr>
            <w:r>
              <w:rPr>
                <w:rFonts w:ascii="Times New Roman" w:hAnsi="Times New Roman" w:eastAsia="Times New Roman"/>
                <w:b/>
                <w:i w:val="0"/>
                <w:sz w:val="19"/>
                <w:u w:val="none"/>
              </w:rPr>
              <w:t xml:space="preserve">11. </w:t>
            </w:r>
            <w:r>
              <w:rPr>
                <w:rFonts w:ascii="Times New Roman" w:hAnsi="Times New Roman" w:eastAsia="Times New Roman"/>
                <w:b/>
                <w:i w:val="0"/>
                <w:sz w:val="19"/>
                <w:u w:val="none"/>
              </w:rPr>
              <w:t xml:space="preserve">Reference laboratory and cross-organization care. </w:t>
            </w:r>
            <w:r>
              <w:rPr>
                <w:rFonts w:ascii="Times New Roman" w:hAnsi="Times New Roman" w:eastAsia="Times New Roman"/>
                <w:b w:val="0"/>
                <w:i w:val="0"/>
                <w:sz w:val="19"/>
                <w:u w:val="none"/>
              </w:rPr>
              <w:t>A specimen may be collected at one organization, transported to a reference laboratory, analyzed at another site, and released into multiple EHRs. Performed time allows receiving clinicians, HIEs, and registries to relate results generated at different institutions, assess referral-laboratory service levels, and avoid treating transmission time as analysis time.</w:t>
            </w:r>
            <w:r>
              <w:rPr>
                <w:rFonts w:ascii="Times New Roman" w:hAnsi="Times New Roman" w:eastAsia="Times New Roman"/>
                <w:b w:val="0"/>
                <w:i w:val="0"/>
                <w:sz w:val="19"/>
                <w:u w:val="none"/>
              </w:rPr>
              <w:t xml:space="preserve"> [4,8]</w:t>
            </w:r>
          </w:p>
          <w:p>
            <w:pPr>
              <w:keepNext w:val="0"/>
              <w:keepLines w:val="0"/>
              <w:pageBreakBefore w:val="0"/>
              <w:widowControl w:val="0"/>
              <w:spacing w:before="0" w:after="48" w:line="240" w:lineRule="auto"/>
              <w:ind w:left="317" w:hanging="317"/>
            </w:pPr>
            <w:r>
              <w:rPr>
                <w:rFonts w:ascii="Times New Roman" w:hAnsi="Times New Roman" w:eastAsia="Times New Roman"/>
                <w:b/>
                <w:i w:val="0"/>
                <w:sz w:val="19"/>
                <w:u w:val="none"/>
              </w:rPr>
              <w:t xml:space="preserve">12. </w:t>
            </w:r>
            <w:r>
              <w:rPr>
                <w:rFonts w:ascii="Times New Roman" w:hAnsi="Times New Roman" w:eastAsia="Times New Roman"/>
                <w:b/>
                <w:i w:val="0"/>
                <w:sz w:val="19"/>
                <w:u w:val="none"/>
              </w:rPr>
              <w:t xml:space="preserve">Instrument, reagent-lot, calibration, and incident investigation. </w:t>
            </w:r>
            <w:r>
              <w:rPr>
                <w:rFonts w:ascii="Times New Roman" w:hAnsi="Times New Roman" w:eastAsia="Times New Roman"/>
                <w:b w:val="0"/>
                <w:i w:val="0"/>
                <w:sz w:val="19"/>
                <w:u w:val="none"/>
              </w:rPr>
              <w:t>When an analyzer malfunction, software defect, calibration issue, reagent-lot problem, downtime, or quality-control failure is discovered, laboratories must identify results generated in the affected interval. Performed time, paired with equipment and performer provenance, supports targeted patient-result review instead of relying on specimen collection or report release windows.</w:t>
            </w:r>
            <w:r>
              <w:rPr>
                <w:rFonts w:ascii="Times New Roman" w:hAnsi="Times New Roman" w:eastAsia="Times New Roman"/>
                <w:b w:val="0"/>
                <w:i w:val="0"/>
                <w:sz w:val="19"/>
                <w:u w:val="none"/>
              </w:rPr>
              <w:t xml:space="preserve"> [3,4,9]</w:t>
            </w:r>
          </w:p>
          <w:p>
            <w:pPr>
              <w:keepNext w:val="0"/>
              <w:keepLines w:val="0"/>
              <w:pageBreakBefore w:val="0"/>
              <w:widowControl w:val="0"/>
              <w:spacing w:before="0" w:after="48" w:line="240" w:lineRule="auto"/>
              <w:ind w:left="317" w:hanging="317"/>
            </w:pPr>
            <w:r>
              <w:rPr>
                <w:rFonts w:ascii="Times New Roman" w:hAnsi="Times New Roman" w:eastAsia="Times New Roman"/>
                <w:b/>
                <w:i w:val="0"/>
                <w:sz w:val="19"/>
                <w:u w:val="none"/>
              </w:rPr>
              <w:t xml:space="preserve">13. </w:t>
            </w:r>
            <w:r>
              <w:rPr>
                <w:rFonts w:ascii="Times New Roman" w:hAnsi="Times New Roman" w:eastAsia="Times New Roman"/>
                <w:b/>
                <w:i w:val="0"/>
                <w:sz w:val="19"/>
                <w:u w:val="none"/>
              </w:rPr>
              <w:t xml:space="preserve">Regulatory compliance, accreditation, audit, and chain of custody. </w:t>
            </w:r>
            <w:r>
              <w:rPr>
                <w:rFonts w:ascii="Times New Roman" w:hAnsi="Times New Roman" w:eastAsia="Times New Roman"/>
                <w:b w:val="0"/>
                <w:i w:val="0"/>
                <w:sz w:val="19"/>
                <w:u w:val="none"/>
              </w:rPr>
              <w:t>CLIA separately requires collection information on test requests and records and dates of all specimen testing in the laboratory record system. Exchanging performed time helps preserve this required chronology when results move from LIS or LIMS to the EHR, HIE, portal, registry, or public health system.</w:t>
            </w:r>
            <w:r>
              <w:rPr>
                <w:rFonts w:ascii="Times New Roman" w:hAnsi="Times New Roman" w:eastAsia="Times New Roman"/>
                <w:b w:val="0"/>
                <w:i w:val="0"/>
                <w:sz w:val="19"/>
                <w:u w:val="none"/>
              </w:rPr>
              <w:t xml:space="preserve"> [2,3]</w:t>
            </w:r>
          </w:p>
          <w:p>
            <w:pPr>
              <w:keepNext w:val="0"/>
              <w:keepLines w:val="0"/>
              <w:pageBreakBefore w:val="0"/>
              <w:widowControl w:val="0"/>
              <w:spacing w:before="0" w:after="48" w:line="240" w:lineRule="auto"/>
              <w:ind w:left="317" w:hanging="317"/>
            </w:pPr>
            <w:r>
              <w:rPr>
                <w:rFonts w:ascii="Times New Roman" w:hAnsi="Times New Roman" w:eastAsia="Times New Roman"/>
                <w:b/>
                <w:i w:val="0"/>
                <w:sz w:val="19"/>
                <w:u w:val="none"/>
              </w:rPr>
              <w:t xml:space="preserve">14. </w:t>
            </w:r>
            <w:r>
              <w:rPr>
                <w:rFonts w:ascii="Times New Roman" w:hAnsi="Times New Roman" w:eastAsia="Times New Roman"/>
                <w:b/>
                <w:i w:val="0"/>
                <w:sz w:val="19"/>
                <w:u w:val="none"/>
              </w:rPr>
              <w:t xml:space="preserve">Public-health surveillance, reporting timeliness, and outbreak response. </w:t>
            </w:r>
            <w:r>
              <w:rPr>
                <w:rFonts w:ascii="Times New Roman" w:hAnsi="Times New Roman" w:eastAsia="Times New Roman"/>
                <w:b w:val="0"/>
                <w:i w:val="0"/>
                <w:sz w:val="19"/>
                <w:u w:val="none"/>
              </w:rPr>
              <w:t>Public health programs need multiple dates to calculate timeliness intervals, identify bottlenecks, classify results in time, and assess whether electronic exchange improves response. CSTE reports that these dates are critical but may be sparsely available to health departments. CDC reports that more than 90 percent of laboratory results sent nationally to health departments use standardized ELR and that LIMS data may be entered by staff or connected instruments before standardized messages are generated. FoodCORE metrics explicitly evaluate laboratory surveillance timeliness and gaps in specimen handling and testing.</w:t>
            </w:r>
            <w:r>
              <w:rPr>
                <w:rFonts w:ascii="Times New Roman" w:hAnsi="Times New Roman" w:eastAsia="Times New Roman"/>
                <w:b w:val="0"/>
                <w:i w:val="0"/>
                <w:sz w:val="19"/>
                <w:u w:val="none"/>
              </w:rPr>
              <w:t xml:space="preserve"> [8,11,12]</w:t>
            </w:r>
          </w:p>
          <w:p>
            <w:pPr>
              <w:keepNext w:val="0"/>
              <w:keepLines w:val="0"/>
              <w:pageBreakBefore w:val="0"/>
              <w:widowControl w:val="0"/>
              <w:spacing w:before="0" w:after="48" w:line="240" w:lineRule="auto"/>
              <w:ind w:left="317" w:hanging="317"/>
            </w:pPr>
            <w:r>
              <w:rPr>
                <w:rFonts w:ascii="Times New Roman" w:hAnsi="Times New Roman" w:eastAsia="Times New Roman"/>
                <w:b/>
                <w:i w:val="0"/>
                <w:sz w:val="19"/>
                <w:u w:val="none"/>
              </w:rPr>
              <w:t xml:space="preserve">15. </w:t>
            </w:r>
            <w:r>
              <w:rPr>
                <w:rFonts w:ascii="Times New Roman" w:hAnsi="Times New Roman" w:eastAsia="Times New Roman"/>
                <w:b/>
                <w:i w:val="0"/>
                <w:sz w:val="19"/>
                <w:u w:val="none"/>
              </w:rPr>
              <w:t xml:space="preserve">Cancer, pathology, and disease-registry reporting. </w:t>
            </w:r>
            <w:r>
              <w:rPr>
                <w:rFonts w:ascii="Times New Roman" w:hAnsi="Times New Roman" w:eastAsia="Times New Roman"/>
                <w:b w:val="0"/>
                <w:i w:val="0"/>
                <w:sz w:val="19"/>
                <w:u w:val="none"/>
              </w:rPr>
              <w:t>Registry workflows must distinguish specimen collection, analysis, and report release, particularly when pathology, biomarker, molecular, or amended results arrive at different times. NAACCR stakeholder comments identify the element as necessary for cancer reporting to public health.</w:t>
            </w:r>
            <w:r>
              <w:rPr>
                <w:rFonts w:ascii="Times New Roman" w:hAnsi="Times New Roman" w:eastAsia="Times New Roman"/>
                <w:b w:val="0"/>
                <w:i w:val="0"/>
                <w:sz w:val="19"/>
                <w:u w:val="none"/>
              </w:rPr>
              <w:t xml:space="preserve"> [9]</w:t>
            </w:r>
          </w:p>
          <w:p>
            <w:pPr>
              <w:keepNext w:val="0"/>
              <w:keepLines w:val="0"/>
              <w:pageBreakBefore w:val="0"/>
              <w:widowControl w:val="0"/>
              <w:spacing w:before="0" w:after="48" w:line="240" w:lineRule="auto"/>
              <w:ind w:left="317" w:hanging="317"/>
            </w:pPr>
            <w:r>
              <w:rPr>
                <w:rFonts w:ascii="Times New Roman" w:hAnsi="Times New Roman" w:eastAsia="Times New Roman"/>
                <w:b/>
                <w:i w:val="0"/>
                <w:sz w:val="19"/>
                <w:u w:val="none"/>
              </w:rPr>
              <w:t xml:space="preserve">16. </w:t>
            </w:r>
            <w:r>
              <w:rPr>
                <w:rFonts w:ascii="Times New Roman" w:hAnsi="Times New Roman" w:eastAsia="Times New Roman"/>
                <w:b/>
                <w:i w:val="0"/>
                <w:sz w:val="19"/>
                <w:u w:val="none"/>
              </w:rPr>
              <w:t xml:space="preserve">Clinical decision support, alerting, and stale-result detection. </w:t>
            </w:r>
            <w:r>
              <w:rPr>
                <w:rFonts w:ascii="Times New Roman" w:hAnsi="Times New Roman" w:eastAsia="Times New Roman"/>
                <w:b w:val="0"/>
                <w:i w:val="0"/>
                <w:sz w:val="19"/>
                <w:u w:val="none"/>
              </w:rPr>
              <w:t>Rules that depend on recency should not infer analysis time from collection or release time. A distinct performed timestamp can prevent an old analysis from appearing current after retransmission and can help suppress inappropriate duplicate alerts when a result is reissued without reanalysis. This use is strongest when performed, collection, and issued times are all retained.</w:t>
            </w:r>
            <w:r>
              <w:rPr>
                <w:rFonts w:ascii="Times New Roman" w:hAnsi="Times New Roman" w:eastAsia="Times New Roman"/>
                <w:b w:val="0"/>
                <w:i w:val="0"/>
                <w:sz w:val="19"/>
                <w:u w:val="none"/>
              </w:rPr>
              <w:t xml:space="preserve"> [5,6,8]</w:t>
            </w:r>
          </w:p>
          <w:p>
            <w:pPr>
              <w:keepNext w:val="0"/>
              <w:keepLines w:val="0"/>
              <w:pageBreakBefore w:val="0"/>
              <w:widowControl w:val="0"/>
              <w:spacing w:before="0" w:after="48" w:line="240" w:lineRule="auto"/>
              <w:ind w:left="317" w:hanging="317"/>
            </w:pPr>
            <w:r>
              <w:rPr>
                <w:rFonts w:ascii="Times New Roman" w:hAnsi="Times New Roman" w:eastAsia="Times New Roman"/>
                <w:b/>
                <w:i w:val="0"/>
                <w:sz w:val="19"/>
                <w:u w:val="none"/>
              </w:rPr>
              <w:t xml:space="preserve">17. </w:t>
            </w:r>
            <w:r>
              <w:rPr>
                <w:rFonts w:ascii="Times New Roman" w:hAnsi="Times New Roman" w:eastAsia="Times New Roman"/>
                <w:b/>
                <w:i w:val="0"/>
                <w:sz w:val="19"/>
                <w:u w:val="none"/>
              </w:rPr>
              <w:t xml:space="preserve">Research, real-world evidence, and data-quality assessment. </w:t>
            </w:r>
            <w:r>
              <w:rPr>
                <w:rFonts w:ascii="Times New Roman" w:hAnsi="Times New Roman" w:eastAsia="Times New Roman"/>
                <w:b w:val="0"/>
                <w:i w:val="0"/>
                <w:sz w:val="19"/>
                <w:u w:val="none"/>
              </w:rPr>
              <w:t>Researchers need to order clinical events accurately and identify pre-analytical bias. Collection time represents the patient state; performed time represents laboratory processing; release time represents information availability. Retaining all three supports reproducibility, sensitivity analyses, and exclusion or stratification of specimens tested outside validated time windows.</w:t>
            </w:r>
            <w:r>
              <w:rPr>
                <w:rFonts w:ascii="Times New Roman" w:hAnsi="Times New Roman" w:eastAsia="Times New Roman"/>
                <w:b w:val="0"/>
                <w:i w:val="0"/>
                <w:sz w:val="19"/>
                <w:u w:val="none"/>
              </w:rPr>
              <w:t xml:space="preserve"> [5,16,17]</w:t>
            </w:r>
          </w:p>
          <w:p>
            <w:pPr>
              <w:keepNext w:val="0"/>
              <w:keepLines w:val="0"/>
              <w:pageBreakBefore w:val="0"/>
              <w:widowControl w:val="0"/>
              <w:spacing w:before="0" w:after="48" w:line="240" w:lineRule="auto"/>
              <w:ind w:left="317" w:hanging="317"/>
            </w:pPr>
            <w:r>
              <w:rPr>
                <w:rFonts w:ascii="Times New Roman" w:hAnsi="Times New Roman" w:eastAsia="Times New Roman"/>
                <w:b/>
                <w:i w:val="0"/>
                <w:sz w:val="19"/>
                <w:u w:val="none"/>
              </w:rPr>
              <w:t xml:space="preserve">18. </w:t>
            </w:r>
            <w:r>
              <w:rPr>
                <w:rFonts w:ascii="Times New Roman" w:hAnsi="Times New Roman" w:eastAsia="Times New Roman"/>
                <w:b/>
                <w:i w:val="0"/>
                <w:sz w:val="19"/>
                <w:u w:val="none"/>
              </w:rPr>
              <w:t xml:space="preserve">Health information exchange, case matching, and deduplication. </w:t>
            </w:r>
            <w:r>
              <w:rPr>
                <w:rFonts w:ascii="Times New Roman" w:hAnsi="Times New Roman" w:eastAsia="Times New Roman"/>
                <w:b w:val="0"/>
                <w:i w:val="0"/>
                <w:sz w:val="19"/>
                <w:u w:val="none"/>
              </w:rPr>
              <w:t>A stable analysis timestamp helps distinguish a newly performed test from a duplicate transmission, an amended result, or the same result received through multiple routes. CSTE identifies granular laboratory data as important for case adjudication, patient deduplication, and linking case data to ELR.</w:t>
            </w:r>
            <w:r>
              <w:rPr>
                <w:rFonts w:ascii="Times New Roman" w:hAnsi="Times New Roman" w:eastAsia="Times New Roman"/>
                <w:b w:val="0"/>
                <w:i w:val="0"/>
                <w:sz w:val="19"/>
                <w:u w:val="none"/>
              </w:rPr>
              <w:t xml:space="preserve"> [8,9,11]</w:t>
            </w:r>
          </w:p>
          <w:p>
            <w:pPr>
              <w:keepNext w:val="0"/>
              <w:keepLines w:val="0"/>
              <w:pageBreakBefore w:val="0"/>
              <w:widowControl w:val="0"/>
              <w:spacing w:before="0" w:after="48" w:line="240" w:lineRule="auto"/>
              <w:ind w:left="317" w:hanging="317"/>
            </w:pPr>
            <w:r>
              <w:rPr>
                <w:rFonts w:ascii="Times New Roman" w:hAnsi="Times New Roman" w:eastAsia="Times New Roman"/>
                <w:b/>
                <w:i w:val="0"/>
                <w:sz w:val="19"/>
                <w:u w:val="none"/>
              </w:rPr>
              <w:t xml:space="preserve">19. </w:t>
            </w:r>
            <w:r>
              <w:rPr>
                <w:rFonts w:ascii="Times New Roman" w:hAnsi="Times New Roman" w:eastAsia="Times New Roman"/>
                <w:b/>
                <w:i w:val="0"/>
                <w:sz w:val="19"/>
                <w:u w:val="none"/>
              </w:rPr>
              <w:t xml:space="preserve">Laboratory operations, capacity planning, and service-level management. </w:t>
            </w:r>
            <w:r>
              <w:rPr>
                <w:rFonts w:ascii="Times New Roman" w:hAnsi="Times New Roman" w:eastAsia="Times New Roman"/>
                <w:b w:val="0"/>
                <w:i w:val="0"/>
                <w:sz w:val="19"/>
                <w:u w:val="none"/>
              </w:rPr>
              <w:t>Aggregated performed timestamps support workload forecasting, staffing, analyzer utilization, batch scheduling, queue analysis, reference-lab monitoring, and evaluation of automation. These operational uses complement, rather than replace, patient-level clinical exchange and can reveal outliers that are hidden by an order-to-report measure alone.</w:t>
            </w:r>
            <w:r>
              <w:rPr>
                <w:rFonts w:ascii="Times New Roman" w:hAnsi="Times New Roman" w:eastAsia="Times New Roman"/>
                <w:b w:val="0"/>
                <w:i w:val="0"/>
                <w:sz w:val="19"/>
                <w:u w:val="none"/>
              </w:rPr>
              <w:t xml:space="preserve"> [13,14]</w:t>
            </w:r>
          </w:p>
          <w:p>
            <w:pPr>
              <w:keepNext w:val="0"/>
              <w:keepLines w:val="0"/>
              <w:pageBreakBefore w:val="0"/>
              <w:widowControl w:val="0"/>
              <w:spacing w:before="0" w:after="48" w:line="240" w:lineRule="auto"/>
              <w:ind w:left="317" w:hanging="317"/>
            </w:pPr>
            <w:r>
              <w:rPr>
                <w:rFonts w:ascii="Times New Roman" w:hAnsi="Times New Roman" w:eastAsia="Times New Roman"/>
                <w:b/>
                <w:i w:val="0"/>
                <w:sz w:val="19"/>
                <w:u w:val="none"/>
              </w:rPr>
              <w:t xml:space="preserve">20. </w:t>
            </w:r>
            <w:r>
              <w:rPr>
                <w:rFonts w:ascii="Times New Roman" w:hAnsi="Times New Roman" w:eastAsia="Times New Roman"/>
                <w:b/>
                <w:i w:val="0"/>
                <w:sz w:val="19"/>
                <w:u w:val="none"/>
              </w:rPr>
              <w:t xml:space="preserve">Patient transparency and medicolegal chronology. </w:t>
            </w:r>
            <w:r>
              <w:rPr>
                <w:rFonts w:ascii="Times New Roman" w:hAnsi="Times New Roman" w:eastAsia="Times New Roman"/>
                <w:b w:val="0"/>
                <w:i w:val="0"/>
                <w:sz w:val="19"/>
                <w:u w:val="none"/>
              </w:rPr>
              <w:t>Patients and clinicians often see different dates labeled "collected," "resulted," or "final." Explicit exchange of performed time supports a transparent chronology and reduces ambiguity about whether a date reflects sampling, analysis, or release. It also strengthens audit reconstruction without implying that performed time is the same as the time a clinician viewed the result.</w:t>
            </w:r>
            <w:r>
              <w:rPr>
                <w:rFonts w:ascii="Times New Roman" w:hAnsi="Times New Roman" w:eastAsia="Times New Roman"/>
                <w:b w:val="0"/>
                <w:i w:val="0"/>
                <w:sz w:val="19"/>
                <w:u w:val="none"/>
              </w:rPr>
              <w:t xml:space="preserve"> [2-5]</w:t>
            </w:r>
          </w:p>
          <w:p>
            <w:pPr>
              <w:keepNext w:val="0"/>
              <w:keepLines w:val="0"/>
              <w:pageBreakBefore w:val="0"/>
              <w:widowControl w:val="0"/>
              <w:spacing w:before="0" w:after="0" w:line="240" w:lineRule="auto"/>
            </w:pPr>
            <w:r>
              <w:rPr>
                <w:rFonts w:ascii="Times New Roman" w:hAnsi="Times New Roman" w:eastAsia="Times New Roman"/>
                <w:b/>
                <w:i w:val="0"/>
                <w:sz w:val="19"/>
                <w:u w:val="none"/>
              </w:rPr>
              <w:t xml:space="preserve">Requested action. </w:t>
            </w:r>
            <w:r>
              <w:rPr>
                <w:rFonts w:ascii="Times New Roman" w:hAnsi="Times New Roman" w:eastAsia="Times New Roman"/>
                <w:b w:val="0"/>
                <w:i w:val="0"/>
                <w:sz w:val="19"/>
                <w:u w:val="none"/>
              </w:rPr>
              <w:t>Add Laboratory Test Performed Date and Time to the Laboratory data class as a result-level element. If ASTP elects to use the cross-cutting Performance Date and Time element instead, add a normative laboratory usage note, require association with the individual laboratory result or component, and identify HL7 v2 OBX-19 and the FHIR Observation AnalysisDateTime extension as the intended mappings. A generic performance timestamp without laboratory-specific semantics will continue to be confused with specimen collection, receipt, or result release.</w:t>
            </w:r>
            <w:r>
              <w:rPr>
                <w:rFonts w:ascii="Times New Roman" w:hAnsi="Times New Roman" w:eastAsia="Times New Roman"/>
                <w:b w:val="0"/>
                <w:i w:val="0"/>
                <w:sz w:val="19"/>
                <w:u w:val="none"/>
              </w:rPr>
              <w:t xml:space="preserve"> [1,4-6,8-10,21]</w:t>
            </w:r>
          </w:p>
        </w:tc>
      </w:tr>
      <w:tr w:rsidR="00D4016E" w:rsidRPr="00D4016E" w14:paraId="48D70FF0" w14:textId="77777777" w:rsidTr="4538474B">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1F1F1"/>
            <w:tcMar>
              <w:top w:w="90" w:type="dxa"/>
              <w:left w:w="60" w:type="dxa"/>
              <w:bottom w:w="90" w:type="dxa"/>
              <w:right w:w="60" w:type="dxa"/>
              <w:start w:w="90" w:type="dxa"/>
              <w:end w:w="90" w:type="dxa"/>
            </w:tcMar>
            <w:vAlign w:val="top"/>
            <w:hideMark/>
          </w:tcPr>
          <w:p>
            <w:pPr>
              <w:keepNext w:val="0"/>
              <w:keepLines w:val="0"/>
              <w:pageBreakBefore w:val="0"/>
              <w:widowControl w:val="0"/>
              <w:spacing w:before="0" w:after="0" w:line="240" w:lineRule="auto"/>
            </w:pPr>
            <w:r>
              <w:rPr>
                <w:rFonts w:ascii="Times New Roman" w:hAnsi="Times New Roman" w:eastAsia="Times New Roman"/>
                <w:b w:val="0"/>
                <w:i w:val="0"/>
                <w:sz w:val="18"/>
                <w:u w:val="none"/>
              </w:rPr>
              <w:t>Estimate the breadth of applicability of the use case(s) for this data element</w:t>
            </w:r>
          </w:p>
        </w:tc>
        <w:tc>
          <w:tcPr>
            <w:tcW w:w="651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Mar>
              <w:top w:w="90" w:type="dxa"/>
              <w:left w:w="60" w:type="dxa"/>
              <w:bottom w:w="90" w:type="dxa"/>
              <w:right w:w="60" w:type="dxa"/>
              <w:start w:w="90" w:type="dxa"/>
              <w:end w:w="90" w:type="dxa"/>
            </w:tcMar>
            <w:vAlign w:val="top"/>
            <w:hideMark/>
          </w:tcPr>
          <w:p>
            <w:pPr>
              <w:keepNext w:val="0"/>
              <w:keepLines w:val="0"/>
              <w:pageBreakBefore w:val="0"/>
              <w:widowControl w:val="0"/>
              <w:spacing w:before="0" w:after="50" w:line="240" w:lineRule="auto"/>
            </w:pPr>
            <w:r>
              <w:rPr>
                <w:rFonts w:ascii="Times New Roman" w:hAnsi="Times New Roman" w:eastAsia="Times New Roman"/>
                <w:b/>
                <w:i w:val="0"/>
                <w:sz w:val="19"/>
                <w:u w:val="none"/>
              </w:rPr>
              <w:t xml:space="preserve">National applicability. </w:t>
            </w:r>
            <w:r>
              <w:rPr>
                <w:rFonts w:ascii="Times New Roman" w:hAnsi="Times New Roman" w:eastAsia="Times New Roman"/>
                <w:b w:val="0"/>
                <w:i w:val="0"/>
                <w:sz w:val="19"/>
                <w:u w:val="none"/>
              </w:rPr>
              <w:t>The underlying regulatory need applies across CLIA-regulated laboratory testing, and the timestamp is relevant to hospital, ambulatory, public health, reference, specialty, pathology, molecular, blood-bank, and point-of-care workflows. Source capture is strongest in instruments, middleware, LIS, and LIMS; receiving EHR storage and standardized exposure are more variable. [2-4,8-11]</w:t>
            </w:r>
          </w:p>
          <w:p>
            <w:pPr>
              <w:keepNext w:val="0"/>
              <w:keepLines w:val="0"/>
              <w:pageBreakBefore w:val="0"/>
              <w:widowControl w:val="0"/>
              <w:spacing w:before="0" w:after="50" w:line="240" w:lineRule="auto"/>
            </w:pPr>
            <w:r>
              <w:rPr>
                <w:rFonts w:ascii="Times New Roman" w:hAnsi="Times New Roman" w:eastAsia="Times New Roman"/>
                <w:b/>
                <w:i w:val="0"/>
                <w:sz w:val="19"/>
                <w:u w:val="none"/>
              </w:rPr>
              <w:t xml:space="preserve">Stakeholders. </w:t>
            </w:r>
            <w:r>
              <w:rPr>
                <w:rFonts w:ascii="Times New Roman" w:hAnsi="Times New Roman" w:eastAsia="Times New Roman"/>
                <w:b w:val="0"/>
                <w:i w:val="0"/>
                <w:sz w:val="19"/>
                <w:u w:val="none"/>
              </w:rPr>
              <w:t>Beneficiaries include laboratory professionals; ordering and treating clinicians; emergency, critical-care, pharmacy, radiology, transfusion, infection-prevention, and quality teams; health information exchanges and QHIN participants; public health agencies and registries; patients and caregivers; researchers; and health IT developers. [8-12,14-18]</w:t>
            </w:r>
          </w:p>
          <w:p>
            <w:pPr>
              <w:keepNext w:val="0"/>
              <w:keepLines w:val="0"/>
              <w:pageBreakBefore w:val="0"/>
              <w:widowControl w:val="0"/>
              <w:spacing w:before="0" w:after="50" w:line="240" w:lineRule="auto"/>
            </w:pPr>
            <w:r>
              <w:rPr>
                <w:rFonts w:ascii="Times New Roman" w:hAnsi="Times New Roman" w:eastAsia="Times New Roman"/>
                <w:b/>
                <w:i w:val="0"/>
                <w:sz w:val="19"/>
                <w:u w:val="none"/>
              </w:rPr>
              <w:t xml:space="preserve">Exchange scale. </w:t>
            </w:r>
            <w:r>
              <w:rPr>
                <w:rFonts w:ascii="Times New Roman" w:hAnsi="Times New Roman" w:eastAsia="Times New Roman"/>
                <w:b w:val="0"/>
                <w:i w:val="0"/>
                <w:sz w:val="19"/>
                <w:u w:val="none"/>
              </w:rPr>
              <w:t>The broader laboratory-reporting infrastructure is already nationwide. CDC reports that more than 90 percent of laboratory results sent to health departments are transmitted as standardized ELR, and federal regulation adopts the HL7 2.5.1 ELR implementation guide for electronic transmission of laboratory results to public health. The remaining gap is consistent inclusion and interpretation of the specific performed timestamp across sending and receiving systems. [7,11]</w:t>
            </w:r>
          </w:p>
          <w:p>
            <w:pPr>
              <w:keepNext w:val="0"/>
              <w:keepLines w:val="0"/>
              <w:pageBreakBefore w:val="0"/>
              <w:widowControl w:val="0"/>
              <w:spacing w:before="0" w:after="0" w:line="240" w:lineRule="auto"/>
            </w:pPr>
            <w:r>
              <w:rPr>
                <w:rFonts w:ascii="Times New Roman" w:hAnsi="Times New Roman" w:eastAsia="Times New Roman"/>
                <w:b/>
                <w:i w:val="0"/>
                <w:sz w:val="19"/>
                <w:u w:val="none"/>
              </w:rPr>
              <w:t xml:space="preserve">Interoperability value. </w:t>
            </w:r>
            <w:r>
              <w:rPr>
                <w:rFonts w:ascii="Times New Roman" w:hAnsi="Times New Roman" w:eastAsia="Times New Roman"/>
                <w:b w:val="0"/>
                <w:i w:val="0"/>
                <w:sz w:val="19"/>
                <w:u w:val="none"/>
              </w:rPr>
              <w:t>A common USCDI element would reduce local mappings, prevent the use of collection or release time as an unsafe proxy, and improve continuity when results move among LIS or LIMS, EHRs, HIEs, public health systems, registries, portals, and applications. [4-6,8-11,21]</w:t>
            </w:r>
          </w:p>
        </w:tc>
      </w:tr>
      <w:tr w:rsidR="00D4016E" w:rsidRPr="00D4016E" w14:paraId="1DFC78C5" w14:textId="77777777" w:rsidTr="4538474B">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1F1F1"/>
            <w:tcMar>
              <w:top w:w="90" w:type="dxa"/>
              <w:left w:w="60" w:type="dxa"/>
              <w:bottom w:w="90" w:type="dxa"/>
              <w:right w:w="60" w:type="dxa"/>
              <w:start w:w="90" w:type="dxa"/>
              <w:end w:w="90" w:type="dxa"/>
            </w:tcMar>
            <w:vAlign w:val="top"/>
            <w:hideMark/>
          </w:tcPr>
          <w:p>
            <w:pPr>
              <w:keepNext w:val="0"/>
              <w:keepLines w:val="0"/>
              <w:pageBreakBefore w:val="0"/>
              <w:widowControl w:val="0"/>
              <w:spacing w:before="0" w:after="0" w:line="240" w:lineRule="auto"/>
            </w:pPr>
            <w:r>
              <w:rPr>
                <w:rFonts w:ascii="Times New Roman" w:hAnsi="Times New Roman" w:eastAsia="Times New Roman"/>
                <w:b w:val="0"/>
                <w:i w:val="0"/>
                <w:sz w:val="18"/>
                <w:u w:val="none"/>
              </w:rPr>
              <w:t>Link to use case project page</w:t>
            </w:r>
          </w:p>
        </w:tc>
        <w:tc>
          <w:tcPr>
            <w:tcW w:w="651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Mar>
              <w:top w:w="90" w:type="dxa"/>
              <w:left w:w="60" w:type="dxa"/>
              <w:bottom w:w="90" w:type="dxa"/>
              <w:right w:w="60" w:type="dxa"/>
              <w:start w:w="90" w:type="dxa"/>
              <w:end w:w="90" w:type="dxa"/>
            </w:tcMar>
            <w:vAlign w:val="top"/>
            <w:hideMark/>
          </w:tcPr>
          <w:p>
            <w:pPr>
              <w:keepNext w:val="0"/>
              <w:keepLines w:val="0"/>
              <w:pageBreakBefore w:val="0"/>
              <w:widowControl w:val="0"/>
              <w:spacing w:before="0" w:after="40" w:line="240" w:lineRule="auto"/>
              <w:ind w:left="259" w:hanging="259"/>
            </w:pPr>
            <w:r>
              <w:rPr>
                <w:rFonts w:ascii="Times New Roman" w:hAnsi="Times New Roman" w:eastAsia="Times New Roman"/>
                <w:b/>
                <w:i w:val="0"/>
                <w:sz w:val="19"/>
                <w:u w:val="none"/>
              </w:rPr>
              <w:t xml:space="preserve">- </w:t>
            </w:r>
            <w:r>
              <w:rPr>
                <w:rFonts w:ascii="Times New Roman" w:hAnsi="Times New Roman" w:eastAsia="Times New Roman"/>
                <w:b/>
                <w:i w:val="0"/>
                <w:sz w:val="19"/>
                <w:u w:val="none"/>
              </w:rPr>
              <w:t xml:space="preserve">ASTP/ONC ISP stakeholder comment thread (2026): </w:t>
            </w:r>
            <w:hyperlink r:id="rId13">
              <w:r>
                <w:rPr>
                  <w:rFonts w:ascii="Times New Roman" w:hAnsi="Times New Roman" w:eastAsia="Times New Roman"/>
                  <w:color w:val="0563C1"/>
                  <w:u w:val="single"/>
                  <w:sz w:val="19"/>
                  <w:szCs w:val="19"/>
                </w:rPr>
                <w:t>https://isp.healthit.gov/comment/13415</w:t>
              </w:r>
            </w:hyperlink>
          </w:p>
          <w:p>
            <w:pPr>
              <w:keepNext w:val="0"/>
              <w:keepLines w:val="0"/>
              <w:pageBreakBefore w:val="0"/>
              <w:widowControl w:val="0"/>
              <w:spacing w:before="0" w:after="40" w:line="240" w:lineRule="auto"/>
              <w:ind w:left="259" w:hanging="259"/>
            </w:pPr>
            <w:r>
              <w:rPr>
                <w:rFonts w:ascii="Times New Roman" w:hAnsi="Times New Roman" w:eastAsia="Times New Roman"/>
                <w:b/>
                <w:i w:val="0"/>
                <w:sz w:val="19"/>
                <w:u w:val="none"/>
              </w:rPr>
              <w:t xml:space="preserve">- </w:t>
            </w:r>
            <w:r>
              <w:rPr>
                <w:rFonts w:ascii="Times New Roman" w:hAnsi="Times New Roman" w:eastAsia="Times New Roman"/>
                <w:b/>
                <w:i w:val="0"/>
                <w:sz w:val="19"/>
                <w:u w:val="none"/>
              </w:rPr>
              <w:t xml:space="preserve">ASTP/ONC ISP CDC consolidated comment thread: </w:t>
            </w:r>
            <w:hyperlink r:id="rId14">
              <w:r>
                <w:rPr>
                  <w:rFonts w:ascii="Times New Roman" w:hAnsi="Times New Roman" w:eastAsia="Times New Roman"/>
                  <w:color w:val="0563C1"/>
                  <w:u w:val="single"/>
                  <w:sz w:val="19"/>
                  <w:szCs w:val="19"/>
                </w:rPr>
                <w:t>https://isp.healthit.gov/comment/8621</w:t>
              </w:r>
            </w:hyperlink>
          </w:p>
          <w:p>
            <w:pPr>
              <w:keepNext w:val="0"/>
              <w:keepLines w:val="0"/>
              <w:pageBreakBefore w:val="0"/>
              <w:widowControl w:val="0"/>
              <w:spacing w:before="0" w:after="40" w:line="240" w:lineRule="auto"/>
              <w:ind w:left="259" w:hanging="259"/>
            </w:pPr>
            <w:r>
              <w:rPr>
                <w:rFonts w:ascii="Times New Roman" w:hAnsi="Times New Roman" w:eastAsia="Times New Roman"/>
                <w:b/>
                <w:i w:val="0"/>
                <w:sz w:val="19"/>
                <w:u w:val="none"/>
              </w:rPr>
              <w:t xml:space="preserve">- </w:t>
            </w:r>
            <w:r>
              <w:rPr>
                <w:rFonts w:ascii="Times New Roman" w:hAnsi="Times New Roman" w:eastAsia="Times New Roman"/>
                <w:b/>
                <w:i w:val="0"/>
                <w:sz w:val="19"/>
                <w:u w:val="none"/>
              </w:rPr>
              <w:t xml:space="preserve">ASTP/ONC ISP HL7 comment thread: </w:t>
            </w:r>
            <w:hyperlink r:id="rId15">
              <w:r>
                <w:rPr>
                  <w:rFonts w:ascii="Times New Roman" w:hAnsi="Times New Roman" w:eastAsia="Times New Roman"/>
                  <w:color w:val="0563C1"/>
                  <w:u w:val="single"/>
                  <w:sz w:val="19"/>
                  <w:szCs w:val="19"/>
                </w:rPr>
                <w:t>https://isp.healthit.gov/comment/4846</w:t>
              </w:r>
            </w:hyperlink>
          </w:p>
          <w:p>
            <w:pPr>
              <w:keepNext w:val="0"/>
              <w:keepLines w:val="0"/>
              <w:pageBreakBefore w:val="0"/>
              <w:widowControl w:val="0"/>
              <w:spacing w:before="0" w:after="40" w:line="240" w:lineRule="auto"/>
              <w:ind w:left="259" w:hanging="259"/>
            </w:pPr>
            <w:r>
              <w:rPr>
                <w:rFonts w:ascii="Times New Roman" w:hAnsi="Times New Roman" w:eastAsia="Times New Roman"/>
                <w:b/>
                <w:i w:val="0"/>
                <w:sz w:val="19"/>
                <w:u w:val="none"/>
              </w:rPr>
              <w:t xml:space="preserve">- </w:t>
            </w:r>
            <w:r>
              <w:rPr>
                <w:rFonts w:ascii="Times New Roman" w:hAnsi="Times New Roman" w:eastAsia="Times New Roman"/>
                <w:b/>
                <w:i w:val="0"/>
                <w:sz w:val="19"/>
                <w:u w:val="none"/>
              </w:rPr>
              <w:t xml:space="preserve">CDC Electronic Laboratory Reporting overview: </w:t>
            </w:r>
            <w:hyperlink r:id="rId16">
              <w:r>
                <w:rPr>
                  <w:rFonts w:ascii="Times New Roman" w:hAnsi="Times New Roman" w:eastAsia="Times New Roman"/>
                  <w:color w:val="0563C1"/>
                  <w:u w:val="single"/>
                  <w:sz w:val="19"/>
                  <w:szCs w:val="19"/>
                </w:rPr>
                <w:t>https://www.cdc.gov/electronic-lab-reporting/php/about/index.html</w:t>
              </w:r>
            </w:hyperlink>
          </w:p>
        </w:tc>
      </w:tr>
      <w:tr w:rsidR="00D4016E" w:rsidRPr="00D4016E" w14:paraId="3E686D02" w14:textId="77777777" w:rsidTr="4538474B">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1F1F1"/>
            <w:tcMar>
              <w:top w:w="90" w:type="dxa"/>
              <w:left w:w="60" w:type="dxa"/>
              <w:bottom w:w="90" w:type="dxa"/>
              <w:right w:w="60" w:type="dxa"/>
              <w:start w:w="90" w:type="dxa"/>
              <w:end w:w="90" w:type="dxa"/>
            </w:tcMar>
            <w:vAlign w:val="top"/>
            <w:hideMark/>
          </w:tcPr>
          <w:p>
            <w:pPr>
              <w:keepNext w:val="0"/>
              <w:keepLines w:val="0"/>
              <w:pageBreakBefore w:val="0"/>
              <w:widowControl w:val="0"/>
              <w:spacing w:before="0" w:after="0" w:line="240" w:lineRule="auto"/>
            </w:pPr>
            <w:r>
              <w:rPr>
                <w:rFonts w:ascii="Times New Roman" w:hAnsi="Times New Roman" w:eastAsia="Times New Roman"/>
                <w:b w:val="0"/>
                <w:i w:val="0"/>
                <w:sz w:val="18"/>
                <w:u w:val="none"/>
              </w:rPr>
              <w:t>Healthcare Aims</w:t>
            </w:r>
          </w:p>
        </w:tc>
        <w:tc>
          <w:tcPr>
            <w:tcW w:w="651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Mar>
              <w:top w:w="90" w:type="dxa"/>
              <w:left w:w="60" w:type="dxa"/>
              <w:bottom w:w="90" w:type="dxa"/>
              <w:right w:w="60" w:type="dxa"/>
              <w:start w:w="90" w:type="dxa"/>
              <w:end w:w="90" w:type="dxa"/>
            </w:tcMar>
            <w:vAlign w:val="top"/>
            <w:hideMark/>
          </w:tcPr>
          <w:p>
            <w:pPr>
              <w:keepNext w:val="0"/>
              <w:keepLines w:val="0"/>
              <w:pageBreakBefore w:val="0"/>
              <w:widowControl w:val="0"/>
              <w:spacing w:before="0" w:after="0" w:line="240" w:lineRule="auto"/>
            </w:pPr>
            <w:r>
              <w:rPr>
                <w:rFonts w:ascii="Times New Roman" w:hAnsi="Times New Roman" w:eastAsia="Times New Roman"/>
                <w:b w:val="0"/>
                <w:i w:val="0"/>
                <w:sz w:val="19"/>
                <w:u w:val="none"/>
              </w:rPr>
              <w:t>Improving the safety, timeliness, quality, transparency, and interpretability of care for individuals and populations; strengthening laboratory quality management and regulatory traceability; supporting interoperable clinical decision support; enabling faster public-health surveillance and outbreak response; and improving the validity of research and real-world evidence. [1,3,8,9,11-18]</w:t>
            </w:r>
          </w:p>
        </w:tc>
      </w:tr>
      <w:tr w:rsidR="00D4016E" w:rsidRPr="00D4016E" w14:paraId="4C96DFC6" w14:textId="77777777" w:rsidTr="4538474B">
        <w:tc>
          <w:tcPr>
            <w:tcW w:w="0" w:type="auto"/>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0EBFC"/>
            <w:tcMar>
              <w:top w:w="75" w:type="dxa"/>
              <w:left w:w="60" w:type="dxa"/>
              <w:bottom w:w="75" w:type="dxa"/>
              <w:right w:w="60" w:type="dxa"/>
              <w:start w:w="90" w:type="dxa"/>
              <w:end w:w="90" w:type="dxa"/>
            </w:tcMar>
            <w:vAlign w:val="center"/>
            <w:hideMark/>
          </w:tcPr>
          <w:p>
            <w:pPr>
              <w:keepNext/>
              <w:keepLines w:val="0"/>
              <w:pageBreakBefore w:val="0"/>
              <w:widowControl w:val="0"/>
              <w:spacing w:before="0" w:after="0" w:line="240" w:lineRule="auto"/>
              <w:jc w:val="center"/>
            </w:pPr>
            <w:r>
              <w:rPr>
                <w:rFonts w:ascii="Times New Roman" w:hAnsi="Times New Roman" w:eastAsia="Times New Roman"/>
                <w:b/>
                <w:i w:val="0"/>
                <w:sz w:val="20"/>
                <w:u w:val="none"/>
              </w:rPr>
              <w:t>Maturity of Use and Technical Specifications for Data Element</w:t>
            </w:r>
          </w:p>
        </w:tc>
      </w:tr>
      <w:tr w:rsidR="00D4016E" w:rsidRPr="00D4016E" w14:paraId="76233336" w14:textId="77777777" w:rsidTr="4538474B">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1F1F1"/>
            <w:tcMar>
              <w:top w:w="90" w:type="dxa"/>
              <w:left w:w="60" w:type="dxa"/>
              <w:bottom w:w="90" w:type="dxa"/>
              <w:right w:w="60" w:type="dxa"/>
              <w:start w:w="90" w:type="dxa"/>
              <w:end w:w="90" w:type="dxa"/>
            </w:tcMar>
            <w:vAlign w:val="top"/>
            <w:hideMark/>
          </w:tcPr>
          <w:p>
            <w:pPr>
              <w:keepNext w:val="0"/>
              <w:keepLines w:val="0"/>
              <w:pageBreakBefore w:val="0"/>
              <w:widowControl w:val="0"/>
              <w:spacing w:before="0" w:after="0" w:line="240" w:lineRule="auto"/>
            </w:pPr>
            <w:r>
              <w:rPr>
                <w:rFonts w:ascii="Times New Roman" w:hAnsi="Times New Roman" w:eastAsia="Times New Roman"/>
                <w:b w:val="0"/>
                <w:i w:val="0"/>
                <w:sz w:val="18"/>
                <w:u w:val="none"/>
              </w:rPr>
              <w:t>Applicable Standard(s)</w:t>
            </w:r>
          </w:p>
        </w:tc>
        <w:tc>
          <w:tcPr>
            <w:tcW w:w="651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Mar>
              <w:top w:w="90" w:type="dxa"/>
              <w:left w:w="60" w:type="dxa"/>
              <w:bottom w:w="90" w:type="dxa"/>
              <w:right w:w="60" w:type="dxa"/>
              <w:start w:w="90" w:type="dxa"/>
              <w:end w:w="90" w:type="dxa"/>
            </w:tcMar>
            <w:vAlign w:val="top"/>
            <w:hideMark/>
          </w:tcPr>
          <w:p>
            <w:pPr>
              <w:keepNext w:val="0"/>
              <w:keepLines w:val="0"/>
              <w:pageBreakBefore w:val="0"/>
              <w:widowControl w:val="0"/>
              <w:spacing w:before="0" w:after="36" w:line="240" w:lineRule="auto"/>
              <w:ind w:left="346" w:hanging="230"/>
            </w:pPr>
            <w:r>
              <w:rPr>
                <w:rFonts w:ascii="Times New Roman" w:hAnsi="Times New Roman" w:eastAsia="Times New Roman"/>
                <w:b/>
                <w:i w:val="0"/>
                <w:sz w:val="19"/>
                <w:u w:val="none"/>
              </w:rPr>
              <w:t xml:space="preserve">- </w:t>
            </w:r>
            <w:r>
              <w:rPr>
                <w:rFonts w:ascii="Times New Roman" w:hAnsi="Times New Roman" w:eastAsia="Times New Roman"/>
                <w:b w:val="0"/>
                <w:i w:val="0"/>
                <w:sz w:val="19"/>
                <w:u w:val="none"/>
              </w:rPr>
              <w:t>HL7 v2 OBX-19, Date/Time of the Analysis (DTM), for the timestamp associated with generation of the analytical result; OBX-14 separately represents the physiologically relevant observation time and, for specimen tests, the specimen collection time. [4]</w:t>
            </w:r>
          </w:p>
          <w:p>
            <w:pPr>
              <w:keepNext w:val="0"/>
              <w:keepLines w:val="0"/>
              <w:pageBreakBefore w:val="0"/>
              <w:widowControl w:val="0"/>
              <w:spacing w:before="0" w:after="36" w:line="240" w:lineRule="auto"/>
              <w:ind w:left="346" w:hanging="230"/>
            </w:pPr>
            <w:r>
              <w:rPr>
                <w:rFonts w:ascii="Times New Roman" w:hAnsi="Times New Roman" w:eastAsia="Times New Roman"/>
                <w:b/>
                <w:i w:val="0"/>
                <w:sz w:val="19"/>
                <w:u w:val="none"/>
              </w:rPr>
              <w:t xml:space="preserve">- </w:t>
            </w:r>
            <w:r>
              <w:rPr>
                <w:rFonts w:ascii="Times New Roman" w:hAnsi="Times New Roman" w:eastAsia="Times New Roman"/>
                <w:b w:val="0"/>
                <w:i w:val="0"/>
                <w:sz w:val="19"/>
                <w:u w:val="none"/>
              </w:rPr>
              <w:t>HL7 FHIR Observation AnalysisDateTime extension, which explicitly represents analysis of the specimen while Observation.effective[x] represents specimen collection. [6]</w:t>
            </w:r>
          </w:p>
          <w:p>
            <w:pPr>
              <w:keepNext w:val="0"/>
              <w:keepLines w:val="0"/>
              <w:pageBreakBefore w:val="0"/>
              <w:widowControl w:val="0"/>
              <w:spacing w:before="0" w:after="36" w:line="240" w:lineRule="auto"/>
              <w:ind w:left="346" w:hanging="230"/>
            </w:pPr>
            <w:r>
              <w:rPr>
                <w:rFonts w:ascii="Times New Roman" w:hAnsi="Times New Roman" w:eastAsia="Times New Roman"/>
                <w:b/>
                <w:i w:val="0"/>
                <w:sz w:val="19"/>
                <w:u w:val="none"/>
              </w:rPr>
              <w:t xml:space="preserve">- </w:t>
            </w:r>
            <w:r>
              <w:rPr>
                <w:rFonts w:ascii="Times New Roman" w:hAnsi="Times New Roman" w:eastAsia="Times New Roman"/>
                <w:b w:val="0"/>
                <w:i w:val="0"/>
                <w:sz w:val="19"/>
                <w:u w:val="none"/>
              </w:rPr>
              <w:t>HL7 FHIR US Core Laboratory Result Observation Profile: Observation.effective[x] is the clinically relevant or specimen-collection time, and Observation.issued is the time a result version became available after review or verification. Neither is semantically equivalent to analysis time. [5]</w:t>
            </w:r>
          </w:p>
          <w:p>
            <w:pPr>
              <w:keepNext w:val="0"/>
              <w:keepLines w:val="0"/>
              <w:pageBreakBefore w:val="0"/>
              <w:widowControl w:val="0"/>
              <w:spacing w:before="0" w:after="36" w:line="240" w:lineRule="auto"/>
              <w:ind w:left="346" w:hanging="230"/>
            </w:pPr>
            <w:r>
              <w:rPr>
                <w:rFonts w:ascii="Times New Roman" w:hAnsi="Times New Roman" w:eastAsia="Times New Roman"/>
                <w:b/>
                <w:i w:val="0"/>
                <w:sz w:val="19"/>
                <w:u w:val="none"/>
              </w:rPr>
              <w:t xml:space="preserve">- </w:t>
            </w:r>
            <w:r>
              <w:rPr>
                <w:rFonts w:ascii="Times New Roman" w:hAnsi="Times New Roman" w:eastAsia="Times New Roman"/>
                <w:b w:val="0"/>
                <w:i w:val="0"/>
                <w:sz w:val="19"/>
                <w:u w:val="none"/>
              </w:rPr>
              <w:t>HL7 v2-to-FHIR AnalysisDateTime mapping extension corresponding to OBX-19. [21]</w:t>
            </w:r>
          </w:p>
          <w:p>
            <w:pPr>
              <w:keepNext w:val="0"/>
              <w:keepLines w:val="0"/>
              <w:pageBreakBefore w:val="0"/>
              <w:widowControl w:val="0"/>
              <w:spacing w:before="0" w:after="36" w:line="240" w:lineRule="auto"/>
              <w:ind w:left="346" w:hanging="230"/>
            </w:pPr>
            <w:r>
              <w:rPr>
                <w:rFonts w:ascii="Times New Roman" w:hAnsi="Times New Roman" w:eastAsia="Times New Roman"/>
                <w:b/>
                <w:i w:val="0"/>
                <w:sz w:val="19"/>
                <w:u w:val="none"/>
              </w:rPr>
              <w:t xml:space="preserve">- </w:t>
            </w:r>
            <w:r>
              <w:rPr>
                <w:rFonts w:ascii="Times New Roman" w:hAnsi="Times New Roman" w:eastAsia="Times New Roman"/>
                <w:b w:val="0"/>
                <w:i w:val="0"/>
                <w:sz w:val="19"/>
                <w:u w:val="none"/>
              </w:rPr>
              <w:t>42 CFR 493.1241 and 42 CFR 493.1283, which separately address specimen collection information and laboratory records of specimen receipt and all specimen testing dates. [2,3]</w:t>
            </w:r>
          </w:p>
          <w:p>
            <w:pPr>
              <w:keepNext w:val="0"/>
              <w:keepLines w:val="0"/>
              <w:pageBreakBefore w:val="0"/>
              <w:widowControl w:val="0"/>
              <w:spacing w:before="0" w:after="36" w:line="240" w:lineRule="auto"/>
              <w:ind w:left="346" w:hanging="230"/>
            </w:pPr>
            <w:r>
              <w:rPr>
                <w:rFonts w:ascii="Times New Roman" w:hAnsi="Times New Roman" w:eastAsia="Times New Roman"/>
                <w:b/>
                <w:i w:val="0"/>
                <w:sz w:val="19"/>
                <w:u w:val="none"/>
              </w:rPr>
              <w:t xml:space="preserve">- </w:t>
            </w:r>
            <w:r>
              <w:rPr>
                <w:rFonts w:ascii="Times New Roman" w:hAnsi="Times New Roman" w:eastAsia="Times New Roman"/>
                <w:b w:val="0"/>
                <w:i w:val="0"/>
                <w:sz w:val="19"/>
                <w:u w:val="none"/>
              </w:rPr>
              <w:t>45 CFR 170.205(g), adopting HL7 2.5.1 and the ELR Release 1 implementation guide for electronic transmission of laboratory results to public health. [7]</w:t>
            </w:r>
          </w:p>
          <w:p>
            <w:pPr>
              <w:keepNext w:val="0"/>
              <w:keepLines w:val="0"/>
              <w:pageBreakBefore w:val="0"/>
              <w:widowControl w:val="0"/>
              <w:spacing w:before="0" w:after="0" w:line="240" w:lineRule="auto"/>
              <w:ind w:left="346" w:hanging="230"/>
            </w:pPr>
            <w:r>
              <w:rPr>
                <w:rFonts w:ascii="Times New Roman" w:hAnsi="Times New Roman" w:eastAsia="Times New Roman"/>
                <w:b/>
                <w:i w:val="0"/>
                <w:sz w:val="19"/>
                <w:u w:val="none"/>
              </w:rPr>
              <w:t xml:space="preserve">- </w:t>
            </w:r>
            <w:r>
              <w:rPr>
                <w:rFonts w:ascii="Times New Roman" w:hAnsi="Times New Roman" w:eastAsia="Times New Roman"/>
                <w:b w:val="0"/>
                <w:i w:val="0"/>
                <w:sz w:val="19"/>
                <w:u w:val="none"/>
              </w:rPr>
              <w:t>Implementation guides and programs cited in the original submission include the HL7 Laboratory Results Interface profile, HL7 ELR Release 1, and NAACCR pathology laboratory electronic reporting. [22-24]</w:t>
            </w:r>
          </w:p>
        </w:tc>
      </w:tr>
      <w:tr w:rsidR="00D4016E" w:rsidRPr="00D4016E" w14:paraId="264BB9F0" w14:textId="77777777" w:rsidTr="4538474B">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1F1F1"/>
            <w:tcMar>
              <w:top w:w="90" w:type="dxa"/>
              <w:left w:w="60" w:type="dxa"/>
              <w:bottom w:w="90" w:type="dxa"/>
              <w:right w:w="60" w:type="dxa"/>
              <w:start w:w="90" w:type="dxa"/>
              <w:end w:w="90" w:type="dxa"/>
            </w:tcMar>
            <w:vAlign w:val="top"/>
            <w:hideMark/>
          </w:tcPr>
          <w:p>
            <w:pPr>
              <w:keepNext w:val="0"/>
              <w:keepLines w:val="0"/>
              <w:pageBreakBefore w:val="0"/>
              <w:widowControl w:val="0"/>
              <w:spacing w:before="0" w:after="0" w:line="240" w:lineRule="auto"/>
            </w:pPr>
            <w:r>
              <w:rPr>
                <w:rFonts w:ascii="Times New Roman" w:hAnsi="Times New Roman" w:eastAsia="Times New Roman"/>
                <w:b w:val="0"/>
                <w:i w:val="0"/>
                <w:sz w:val="18"/>
                <w:u w:val="none"/>
              </w:rPr>
              <w:t>Additional Specifications</w:t>
            </w:r>
          </w:p>
        </w:tc>
        <w:tc>
          <w:tcPr>
            <w:tcW w:w="651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Mar>
              <w:top w:w="90" w:type="dxa"/>
              <w:left w:w="60" w:type="dxa"/>
              <w:bottom w:w="90" w:type="dxa"/>
              <w:right w:w="60" w:type="dxa"/>
              <w:start w:w="90" w:type="dxa"/>
              <w:end w:w="90" w:type="dxa"/>
            </w:tcMar>
            <w:vAlign w:val="top"/>
            <w:hideMark/>
          </w:tcPr>
          <w:p>
            <w:pPr>
              <w:keepNext w:val="0"/>
              <w:keepLines w:val="0"/>
              <w:pageBreakBefore w:val="0"/>
              <w:widowControl w:val="0"/>
              <w:spacing w:before="0" w:after="50" w:line="240" w:lineRule="auto"/>
            </w:pPr>
            <w:r>
              <w:rPr>
                <w:rFonts w:ascii="Times New Roman" w:hAnsi="Times New Roman" w:eastAsia="Times New Roman"/>
                <w:b/>
                <w:i w:val="0"/>
                <w:sz w:val="19"/>
                <w:u w:val="none"/>
              </w:rPr>
              <w:t xml:space="preserve">Recommended representation. </w:t>
            </w:r>
            <w:r>
              <w:rPr>
                <w:rFonts w:ascii="Times New Roman" w:hAnsi="Times New Roman" w:eastAsia="Times New Roman"/>
                <w:b w:val="0"/>
                <w:i w:val="0"/>
                <w:sz w:val="19"/>
                <w:u w:val="none"/>
              </w:rPr>
              <w:t>Date or date-time, with date-time preferred when the source system has that precision. Preserve the source precision and time-zone offset. Associate the value with the individual laboratory result or component rather than only the order or report. [4,6]</w:t>
            </w:r>
          </w:p>
          <w:p>
            <w:pPr>
              <w:keepNext w:val="0"/>
              <w:keepLines w:val="0"/>
              <w:pageBreakBefore w:val="0"/>
              <w:widowControl w:val="0"/>
              <w:spacing w:before="0" w:after="50" w:line="240" w:lineRule="auto"/>
            </w:pPr>
            <w:r>
              <w:rPr>
                <w:rFonts w:ascii="Times New Roman" w:hAnsi="Times New Roman" w:eastAsia="Times New Roman"/>
                <w:b/>
                <w:i w:val="0"/>
                <w:sz w:val="19"/>
                <w:u w:val="none"/>
              </w:rPr>
              <w:t xml:space="preserve">Cardinality and support. </w:t>
            </w:r>
            <w:r>
              <w:rPr>
                <w:rFonts w:ascii="Times New Roman" w:hAnsi="Times New Roman" w:eastAsia="Times New Roman"/>
                <w:b w:val="0"/>
                <w:i w:val="0"/>
                <w:sz w:val="19"/>
                <w:u w:val="none"/>
              </w:rPr>
              <w:t>Zero or one performed timestamp per result version or analytical determination, with Must Support behavior when known. Multiple components may share a timestamp when generated in the same run; components analyzed separately should retain their own timestamps.</w:t>
            </w:r>
          </w:p>
          <w:p>
            <w:pPr>
              <w:keepNext w:val="0"/>
              <w:keepLines w:val="0"/>
              <w:pageBreakBefore w:val="0"/>
              <w:widowControl w:val="0"/>
              <w:spacing w:before="0" w:after="50" w:line="240" w:lineRule="auto"/>
            </w:pPr>
            <w:r>
              <w:rPr>
                <w:rFonts w:ascii="Times New Roman" w:hAnsi="Times New Roman" w:eastAsia="Times New Roman"/>
                <w:b/>
                <w:i w:val="0"/>
                <w:sz w:val="19"/>
                <w:u w:val="none"/>
              </w:rPr>
              <w:t xml:space="preserve">Manual testing. </w:t>
            </w:r>
            <w:r>
              <w:rPr>
                <w:rFonts w:ascii="Times New Roman" w:hAnsi="Times New Roman" w:eastAsia="Times New Roman"/>
                <w:b w:val="0"/>
                <w:i w:val="0"/>
                <w:sz w:val="19"/>
                <w:u w:val="none"/>
              </w:rPr>
              <w:t>Use the time the technologist generated and recorded the analytical determination. A verification time may be used only when it is the source system's actual analytical completion event for the manual method; it should not be substituted merely because it is easier to retrieve. [8,10]</w:t>
            </w:r>
          </w:p>
          <w:p>
            <w:pPr>
              <w:keepNext w:val="0"/>
              <w:keepLines w:val="0"/>
              <w:pageBreakBefore w:val="0"/>
              <w:widowControl w:val="0"/>
              <w:spacing w:before="0" w:after="50" w:line="240" w:lineRule="auto"/>
            </w:pPr>
            <w:r>
              <w:rPr>
                <w:rFonts w:ascii="Times New Roman" w:hAnsi="Times New Roman" w:eastAsia="Times New Roman"/>
                <w:b/>
                <w:i w:val="0"/>
                <w:sz w:val="19"/>
                <w:u w:val="none"/>
              </w:rPr>
              <w:t xml:space="preserve">Reanalysis and corrections. </w:t>
            </w:r>
            <w:r>
              <w:rPr>
                <w:rFonts w:ascii="Times New Roman" w:hAnsi="Times New Roman" w:eastAsia="Times New Roman"/>
                <w:b w:val="0"/>
                <w:i w:val="0"/>
                <w:sz w:val="19"/>
                <w:u w:val="none"/>
              </w:rPr>
              <w:t>If a result is corrected without a new analysis, retain the original performed time and use the issued or version timestamp for the correction. If the specimen is reanalyzed, retain a new performed time for the new determination and preserve the prior result history.</w:t>
            </w:r>
          </w:p>
          <w:p>
            <w:pPr>
              <w:keepNext w:val="0"/>
              <w:keepLines w:val="0"/>
              <w:pageBreakBefore w:val="0"/>
              <w:widowControl w:val="0"/>
              <w:spacing w:before="0" w:after="50" w:line="240" w:lineRule="auto"/>
            </w:pPr>
            <w:r>
              <w:rPr>
                <w:rFonts w:ascii="Times New Roman" w:hAnsi="Times New Roman" w:eastAsia="Times New Roman"/>
                <w:b/>
                <w:i w:val="0"/>
                <w:sz w:val="19"/>
                <w:u w:val="none"/>
              </w:rPr>
              <w:t xml:space="preserve">Do not conflate events. </w:t>
            </w:r>
            <w:r>
              <w:rPr>
                <w:rFonts w:ascii="Times New Roman" w:hAnsi="Times New Roman" w:eastAsia="Times New Roman"/>
                <w:b w:val="0"/>
                <w:i w:val="0"/>
                <w:sz w:val="19"/>
                <w:u w:val="none"/>
              </w:rPr>
              <w:t>Do not map collection, receipt, interface arrival, chart filing, review, verification, release, or last-updated time to this element unless that event is genuinely the analytical determination under the documented workflow. [4-6]</w:t>
            </w:r>
          </w:p>
          <w:p>
            <w:pPr>
              <w:keepNext w:val="0"/>
              <w:keepLines w:val="0"/>
              <w:pageBreakBefore w:val="0"/>
              <w:widowControl w:val="0"/>
              <w:spacing w:before="0" w:after="0" w:line="240" w:lineRule="auto"/>
            </w:pPr>
            <w:r>
              <w:rPr>
                <w:rFonts w:ascii="Times New Roman" w:hAnsi="Times New Roman" w:eastAsia="Times New Roman"/>
                <w:b/>
                <w:i w:val="0"/>
                <w:sz w:val="19"/>
                <w:u w:val="none"/>
              </w:rPr>
              <w:t xml:space="preserve">Companion provenance. </w:t>
            </w:r>
            <w:r>
              <w:rPr>
                <w:rFonts w:ascii="Times New Roman" w:hAnsi="Times New Roman" w:eastAsia="Times New Roman"/>
                <w:b w:val="0"/>
                <w:i w:val="0"/>
                <w:sz w:val="19"/>
                <w:u w:val="none"/>
              </w:rPr>
              <w:t>Where available, exchange the performing organization, instrument or device, method, performer, specimen identifier, result status, and version or correction status so that the performed timestamp can be interpreted in context. [3,4]</w:t>
            </w:r>
          </w:p>
        </w:tc>
      </w:tr>
      <w:tr w:rsidR="00D4016E" w:rsidRPr="00D4016E" w14:paraId="1A422FE7" w14:textId="77777777" w:rsidTr="4538474B">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1F1F1"/>
            <w:tcMar>
              <w:top w:w="90" w:type="dxa"/>
              <w:left w:w="60" w:type="dxa"/>
              <w:bottom w:w="90" w:type="dxa"/>
              <w:right w:w="60" w:type="dxa"/>
              <w:start w:w="90" w:type="dxa"/>
              <w:end w:w="90" w:type="dxa"/>
            </w:tcMar>
            <w:vAlign w:val="top"/>
            <w:hideMark/>
          </w:tcPr>
          <w:p>
            <w:pPr>
              <w:keepNext w:val="0"/>
              <w:keepLines w:val="0"/>
              <w:pageBreakBefore w:val="0"/>
              <w:widowControl w:val="0"/>
              <w:spacing w:before="0" w:after="0" w:line="240" w:lineRule="auto"/>
            </w:pPr>
            <w:r>
              <w:rPr>
                <w:rFonts w:ascii="Times New Roman" w:hAnsi="Times New Roman" w:eastAsia="Times New Roman"/>
                <w:b w:val="0"/>
                <w:i w:val="0"/>
                <w:sz w:val="18"/>
                <w:u w:val="none"/>
              </w:rPr>
              <w:t>Current Use</w:t>
            </w:r>
          </w:p>
        </w:tc>
        <w:tc>
          <w:tcPr>
            <w:tcW w:w="651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Mar>
              <w:top w:w="90" w:type="dxa"/>
              <w:left w:w="60" w:type="dxa"/>
              <w:bottom w:w="90" w:type="dxa"/>
              <w:right w:w="60" w:type="dxa"/>
              <w:start w:w="90" w:type="dxa"/>
              <w:end w:w="90" w:type="dxa"/>
            </w:tcMar>
            <w:vAlign w:val="top"/>
            <w:hideMark/>
          </w:tcPr>
          <w:p>
            <w:pPr>
              <w:keepNext/>
              <w:keepLines w:val="0"/>
              <w:pageBreakBefore w:val="0"/>
              <w:widowControl w:val="0"/>
              <w:spacing w:before="0" w:after="64" w:line="240" w:lineRule="auto"/>
            </w:pPr>
            <w:r>
              <w:rPr>
                <w:rFonts w:ascii="Times New Roman" w:hAnsi="Times New Roman" w:eastAsia="Times New Roman"/>
                <w:b/>
                <w:i w:val="0"/>
                <w:sz w:val="20"/>
                <w:u w:val="none"/>
              </w:rPr>
              <w:t>How the data element is captured today in laboratory and EHR ecosystems</w:t>
            </w:r>
          </w:p>
          <w:p>
            <w:pPr>
              <w:keepNext w:val="0"/>
              <w:keepLines w:val="0"/>
              <w:pageBreakBefore w:val="0"/>
              <w:widowControl w:val="0"/>
              <w:spacing w:before="0" w:after="50" w:line="240" w:lineRule="auto"/>
            </w:pPr>
            <w:r>
              <w:rPr>
                <w:rFonts w:ascii="Times New Roman" w:hAnsi="Times New Roman" w:eastAsia="Times New Roman"/>
                <w:b/>
                <w:i w:val="0"/>
                <w:sz w:val="19"/>
                <w:u w:val="none"/>
              </w:rPr>
              <w:t xml:space="preserve">1. Analyzer and point-of-care source capture. </w:t>
            </w:r>
            <w:r>
              <w:rPr>
                <w:rFonts w:ascii="Times New Roman" w:hAnsi="Times New Roman" w:eastAsia="Times New Roman"/>
                <w:b w:val="0"/>
                <w:i w:val="0"/>
                <w:sz w:val="19"/>
                <w:u w:val="none"/>
              </w:rPr>
              <w:t>Automated analyzers and connected point-of-care devices generate a measurement or run timestamp as part of the result record. CDC describes LIMS data as being entered manually by laboratory personnel or automatically by connected instruments. For manual methods, the technologist records or completes the analytical determination in the LIS or LIMS. [8-11]</w:t>
            </w:r>
          </w:p>
          <w:p>
            <w:pPr>
              <w:keepNext w:val="0"/>
              <w:keepLines w:val="0"/>
              <w:pageBreakBefore w:val="0"/>
              <w:widowControl w:val="0"/>
              <w:spacing w:before="0" w:after="50" w:line="240" w:lineRule="auto"/>
            </w:pPr>
            <w:r>
              <w:rPr>
                <w:rFonts w:ascii="Times New Roman" w:hAnsi="Times New Roman" w:eastAsia="Times New Roman"/>
                <w:b/>
                <w:i w:val="0"/>
                <w:sz w:val="19"/>
                <w:u w:val="none"/>
              </w:rPr>
              <w:t xml:space="preserve">2. Middleware and LIS or LIMS persistence. </w:t>
            </w:r>
            <w:r>
              <w:rPr>
                <w:rFonts w:ascii="Times New Roman" w:hAnsi="Times New Roman" w:eastAsia="Times New Roman"/>
                <w:b w:val="0"/>
                <w:i w:val="0"/>
                <w:sz w:val="19"/>
                <w:u w:val="none"/>
              </w:rPr>
              <w:t>Laboratory middleware and LIS or LIMS commonly persist the result-level timestamp together with the accession, test or component, status, instrument, and performer or verifier metadata. This supports the CLIA requirement to maintain records and dates of all specimen testing. [3,4,9,10]</w:t>
            </w:r>
          </w:p>
          <w:p>
            <w:pPr>
              <w:keepNext w:val="0"/>
              <w:keepLines w:val="0"/>
              <w:pageBreakBefore w:val="0"/>
              <w:widowControl w:val="0"/>
              <w:spacing w:before="0" w:after="50" w:line="240" w:lineRule="auto"/>
            </w:pPr>
            <w:r>
              <w:rPr>
                <w:rFonts w:ascii="Times New Roman" w:hAnsi="Times New Roman" w:eastAsia="Times New Roman"/>
                <w:b/>
                <w:i w:val="0"/>
                <w:sz w:val="19"/>
                <w:u w:val="none"/>
              </w:rPr>
              <w:t xml:space="preserve">3. HL7 v2 result interfaces to EHRs. </w:t>
            </w:r>
            <w:r>
              <w:rPr>
                <w:rFonts w:ascii="Times New Roman" w:hAnsi="Times New Roman" w:eastAsia="Times New Roman"/>
                <w:b w:val="0"/>
                <w:i w:val="0"/>
                <w:sz w:val="19"/>
                <w:u w:val="none"/>
              </w:rPr>
              <w:t>The long-established field for exchange is OBX-19 Date/Time of the Analysis. It can travel in ORU and ELR result messages at the observation level. CDC stakeholder comments state that the LIMS captures the value, exchanges it in the result message, and that the receiving EHR may store it; APHL reports that most EHRs already track and can send it. These statements are stakeholder evidence rather than a product-by-product certification audit, but they are consistent with the mature v2 representation. [4,8,9]</w:t>
            </w:r>
          </w:p>
          <w:p>
            <w:pPr>
              <w:keepNext w:val="0"/>
              <w:keepLines w:val="0"/>
              <w:pageBreakBefore w:val="0"/>
              <w:widowControl w:val="0"/>
              <w:spacing w:before="0" w:after="50" w:line="240" w:lineRule="auto"/>
            </w:pPr>
            <w:r>
              <w:rPr>
                <w:rFonts w:ascii="Times New Roman" w:hAnsi="Times New Roman" w:eastAsia="Times New Roman"/>
                <w:b/>
                <w:i w:val="0"/>
                <w:sz w:val="19"/>
                <w:u w:val="none"/>
              </w:rPr>
              <w:t xml:space="preserve">4. EHR storage and display patterns. </w:t>
            </w:r>
            <w:r>
              <w:rPr>
                <w:rFonts w:ascii="Times New Roman" w:hAnsi="Times New Roman" w:eastAsia="Times New Roman"/>
                <w:b w:val="0"/>
                <w:i w:val="0"/>
                <w:sz w:val="19"/>
                <w:u w:val="none"/>
              </w:rPr>
              <w:t>Receiving EHRs may retain the value in a laboratory-result detail record, interface table, audit or history view, or a local proprietary field. Some make it visible in result details; others store it without prominent display, normalize it to another timestamp, or omit it during downstream export. CSTE reports that, although date-time data are generated, their availability to public health can be sparse. [8,9]</w:t>
            </w:r>
          </w:p>
          <w:p>
            <w:pPr>
              <w:keepNext w:val="0"/>
              <w:keepLines w:val="0"/>
              <w:pageBreakBefore w:val="0"/>
              <w:widowControl w:val="0"/>
              <w:spacing w:before="0" w:after="50" w:line="240" w:lineRule="auto"/>
            </w:pPr>
            <w:r>
              <w:rPr>
                <w:rFonts w:ascii="Times New Roman" w:hAnsi="Times New Roman" w:eastAsia="Times New Roman"/>
                <w:b/>
                <w:i w:val="0"/>
                <w:sz w:val="19"/>
                <w:u w:val="none"/>
              </w:rPr>
              <w:t xml:space="preserve">5. Current FHIR API pattern. </w:t>
            </w:r>
            <w:r>
              <w:rPr>
                <w:rFonts w:ascii="Times New Roman" w:hAnsi="Times New Roman" w:eastAsia="Times New Roman"/>
                <w:b w:val="0"/>
                <w:i w:val="0"/>
                <w:sz w:val="19"/>
                <w:u w:val="none"/>
              </w:rPr>
              <w:t>Published EHR API documentation demonstrates that collection and release are already separate concepts: Oracle Health Millennium describes Observation effective date/time as the collection date/time for laboratory results and Observation.issued as the date/time the observation was made available, entered, or verified; Veradigm similarly defines effectiveDateTime as specimen collection and issued as availability after review or verification. Those core fields do not represent analytical generation. [19,20]</w:t>
            </w:r>
          </w:p>
          <w:p>
            <w:pPr>
              <w:keepNext w:val="0"/>
              <w:keepLines w:val="0"/>
              <w:pageBreakBefore w:val="0"/>
              <w:widowControl w:val="0"/>
              <w:spacing w:before="0" w:after="50" w:line="240" w:lineRule="auto"/>
            </w:pPr>
            <w:r>
              <w:rPr>
                <w:rFonts w:ascii="Times New Roman" w:hAnsi="Times New Roman" w:eastAsia="Times New Roman"/>
                <w:b/>
                <w:i w:val="0"/>
                <w:sz w:val="19"/>
                <w:u w:val="none"/>
              </w:rPr>
              <w:t xml:space="preserve">6. FHIR representation of analysis time. </w:t>
            </w:r>
            <w:r>
              <w:rPr>
                <w:rFonts w:ascii="Times New Roman" w:hAnsi="Times New Roman" w:eastAsia="Times New Roman"/>
                <w:b w:val="0"/>
                <w:i w:val="0"/>
                <w:sz w:val="19"/>
                <w:u w:val="none"/>
              </w:rPr>
              <w:t>HL7 provides a dedicated Observation AnalysisDateTime extension and a v2-to-FHIR mapping for OBX-19. The extension is currently trial use and is not used by the US Core laboratory profile, so analysis time may require an extension or local mapping and can be lost when an HL7 v2 feed is converted to a constrained FHIR API. This is an interoperability gap, not evidence that source systems lack the data. [5,6,21]</w:t>
            </w:r>
          </w:p>
          <w:p>
            <w:pPr>
              <w:keepNext w:val="0"/>
              <w:keepLines w:val="0"/>
              <w:pageBreakBefore w:val="0"/>
              <w:widowControl w:val="0"/>
              <w:spacing w:before="0" w:after="50" w:line="240" w:lineRule="auto"/>
            </w:pPr>
            <w:r>
              <w:rPr>
                <w:rFonts w:ascii="Times New Roman" w:hAnsi="Times New Roman" w:eastAsia="Times New Roman"/>
                <w:b/>
                <w:i w:val="0"/>
                <w:sz w:val="19"/>
                <w:u w:val="none"/>
              </w:rPr>
              <w:t xml:space="preserve">7. Preliminary, final, corrected, and reanalyzed results. </w:t>
            </w:r>
            <w:r>
              <w:rPr>
                <w:rFonts w:ascii="Times New Roman" w:hAnsi="Times New Roman" w:eastAsia="Times New Roman"/>
                <w:b w:val="0"/>
                <w:i w:val="0"/>
                <w:sz w:val="19"/>
                <w:u w:val="none"/>
              </w:rPr>
              <w:t>EHRs and LIS systems already maintain result status and version or update events. The performed timestamp should remain tied to the analytical determination, while issued or release time changes when a result version is made available. A new performed timestamp is appropriate when a new analysis is actually conducted. [5,10,20]</w:t>
            </w:r>
          </w:p>
          <w:p>
            <w:pPr>
              <w:keepNext w:val="0"/>
              <w:keepLines w:val="0"/>
              <w:pageBreakBefore w:val="0"/>
              <w:widowControl w:val="0"/>
              <w:spacing w:before="0" w:after="0" w:line="240" w:lineRule="auto"/>
            </w:pPr>
            <w:r>
              <w:rPr>
                <w:rFonts w:ascii="Times New Roman" w:hAnsi="Times New Roman" w:eastAsia="Times New Roman"/>
                <w:b/>
                <w:i w:val="0"/>
                <w:sz w:val="19"/>
                <w:u w:val="none"/>
              </w:rPr>
              <w:t xml:space="preserve">Overall maturity assessment. </w:t>
            </w:r>
            <w:r>
              <w:rPr>
                <w:rFonts w:ascii="Times New Roman" w:hAnsi="Times New Roman" w:eastAsia="Times New Roman"/>
                <w:b w:val="0"/>
                <w:i w:val="0"/>
                <w:sz w:val="19"/>
                <w:u w:val="none"/>
              </w:rPr>
              <w:t>Source capture and HL7 v2 exchange are mature; standardized EHR retention, display, and FHIR API exposure are inconsistent. USCDI inclusion would primarily require semantic normalization, receiver mapping, and consistent export rather than creation of a new bedside or laboratory documentation workflow. [3,4,6,8-11,19-21]</w:t>
            </w:r>
          </w:p>
        </w:tc>
      </w:tr>
      <w:tr w:rsidR="00D4016E" w:rsidRPr="00D4016E" w14:paraId="0E5D4ADC" w14:textId="77777777" w:rsidTr="4538474B">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1F1F1"/>
            <w:tcMar>
              <w:top w:w="90" w:type="dxa"/>
              <w:left w:w="60" w:type="dxa"/>
              <w:bottom w:w="90" w:type="dxa"/>
              <w:right w:w="60" w:type="dxa"/>
              <w:start w:w="90" w:type="dxa"/>
              <w:end w:w="90" w:type="dxa"/>
            </w:tcMar>
            <w:vAlign w:val="top"/>
            <w:hideMark/>
          </w:tcPr>
          <w:p>
            <w:pPr>
              <w:keepNext w:val="0"/>
              <w:keepLines w:val="0"/>
              <w:pageBreakBefore w:val="0"/>
              <w:widowControl w:val="0"/>
              <w:spacing w:before="0" w:after="0" w:line="240" w:lineRule="auto"/>
            </w:pPr>
            <w:r>
              <w:rPr>
                <w:rFonts w:ascii="Times New Roman" w:hAnsi="Times New Roman" w:eastAsia="Times New Roman"/>
                <w:b w:val="0"/>
                <w:i w:val="0"/>
                <w:sz w:val="18"/>
                <w:u w:val="none"/>
              </w:rPr>
              <w:t>Supporting Artifacts</w:t>
            </w:r>
          </w:p>
        </w:tc>
        <w:tc>
          <w:tcPr>
            <w:tcW w:w="651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Mar>
              <w:top w:w="90" w:type="dxa"/>
              <w:left w:w="60" w:type="dxa"/>
              <w:bottom w:w="90" w:type="dxa"/>
              <w:right w:w="60" w:type="dxa"/>
              <w:start w:w="90" w:type="dxa"/>
              <w:end w:w="90" w:type="dxa"/>
            </w:tcMar>
            <w:vAlign w:val="top"/>
          </w:tcPr>
          <w:p>
            <w:pPr>
              <w:keepNext w:val="0"/>
              <w:keepLines w:val="0"/>
              <w:pageBreakBefore w:val="0"/>
              <w:widowControl w:val="0"/>
              <w:spacing w:before="0" w:after="50" w:line="240" w:lineRule="auto"/>
            </w:pPr>
            <w:r>
              <w:rPr>
                <w:rFonts w:ascii="Times New Roman" w:hAnsi="Times New Roman" w:eastAsia="Times New Roman"/>
                <w:b/>
                <w:i w:val="0"/>
                <w:sz w:val="19"/>
                <w:u w:val="none"/>
              </w:rPr>
              <w:t xml:space="preserve">Regulatory artifacts. </w:t>
            </w:r>
            <w:r>
              <w:rPr>
                <w:rFonts w:ascii="Times New Roman" w:hAnsi="Times New Roman" w:eastAsia="Times New Roman"/>
                <w:b w:val="0"/>
                <w:i w:val="0"/>
                <w:sz w:val="19"/>
                <w:u w:val="none"/>
              </w:rPr>
              <w:t>42 CFR 493.1241 requires test requisitions to solicit the date and, if appropriate, time of specimen collection. 42 CFR 493.1283 requires a laboratory record system to include specimen receipt date and time and the records and dates of all specimen testing. The separate requirements demonstrate that collection and testing dates are not interchangeable. [2,3]</w:t>
            </w:r>
          </w:p>
          <w:p>
            <w:pPr>
              <w:keepNext w:val="0"/>
              <w:keepLines w:val="0"/>
              <w:pageBreakBefore w:val="0"/>
              <w:widowControl w:val="0"/>
              <w:spacing w:before="0" w:after="50" w:line="240" w:lineRule="auto"/>
            </w:pPr>
            <w:r>
              <w:rPr>
                <w:rFonts w:ascii="Times New Roman" w:hAnsi="Times New Roman" w:eastAsia="Times New Roman"/>
                <w:b/>
                <w:i w:val="0"/>
                <w:sz w:val="19"/>
                <w:u w:val="none"/>
              </w:rPr>
              <w:t xml:space="preserve">HL7 v2 artifact. </w:t>
            </w:r>
            <w:r>
              <w:rPr>
                <w:rFonts w:ascii="Times New Roman" w:hAnsi="Times New Roman" w:eastAsia="Times New Roman"/>
                <w:b w:val="0"/>
                <w:i w:val="0"/>
                <w:sz w:val="19"/>
                <w:u w:val="none"/>
              </w:rPr>
              <w:t>OBX-14 defines the physiologically relevant observation time and identifies specimen collection time for specimen tests; OBX-19 defines the timestamp associated with generation of the analytical result by the instrument. [4]</w:t>
            </w:r>
          </w:p>
          <w:p>
            <w:pPr>
              <w:keepNext w:val="0"/>
              <w:keepLines w:val="0"/>
              <w:pageBreakBefore w:val="0"/>
              <w:widowControl w:val="0"/>
              <w:spacing w:before="0" w:after="50" w:line="240" w:lineRule="auto"/>
            </w:pPr>
            <w:r>
              <w:rPr>
                <w:rFonts w:ascii="Times New Roman" w:hAnsi="Times New Roman" w:eastAsia="Times New Roman"/>
                <w:b/>
                <w:i w:val="0"/>
                <w:sz w:val="19"/>
                <w:u w:val="none"/>
              </w:rPr>
              <w:t xml:space="preserve">FHIR artifacts. </w:t>
            </w:r>
            <w:r>
              <w:rPr>
                <w:rFonts w:ascii="Times New Roman" w:hAnsi="Times New Roman" w:eastAsia="Times New Roman"/>
                <w:b w:val="0"/>
                <w:i w:val="0"/>
                <w:sz w:val="19"/>
                <w:u w:val="none"/>
              </w:rPr>
              <w:t>US Core defines effective[x] as clinically relevant time, generally specimen collection for laboratory observations, and issued as result availability after review or verification. The HL7 AnalysisDateTime extension supplies the separate analysis timestamp and is mapped from OBX-19 in HL7 v2-to-FHIR work. [5,6,21]</w:t>
            </w:r>
          </w:p>
          <w:p>
            <w:pPr>
              <w:keepNext w:val="0"/>
              <w:keepLines w:val="0"/>
              <w:pageBreakBefore w:val="0"/>
              <w:widowControl w:val="0"/>
              <w:spacing w:before="0" w:after="50" w:line="240" w:lineRule="auto"/>
            </w:pPr>
            <w:r>
              <w:rPr>
                <w:rFonts w:ascii="Times New Roman" w:hAnsi="Times New Roman" w:eastAsia="Times New Roman"/>
                <w:b/>
                <w:i w:val="0"/>
                <w:sz w:val="19"/>
                <w:u w:val="none"/>
              </w:rPr>
              <w:t xml:space="preserve">Implementation and stakeholder artifacts. </w:t>
            </w:r>
            <w:r>
              <w:rPr>
                <w:rFonts w:ascii="Times New Roman" w:hAnsi="Times New Roman" w:eastAsia="Times New Roman"/>
                <w:b w:val="0"/>
                <w:i w:val="0"/>
                <w:sz w:val="19"/>
                <w:u w:val="none"/>
              </w:rPr>
              <w:t>ASTP/ONC ISP comments from APHL, CSTE, CDC, HL7, NAACCR, and other stakeholders describe current capture, broad clinical and public-health use cases, and the need to disambiguate performed time from collection and release time. [8-10]</w:t>
            </w:r>
          </w:p>
          <w:p>
            <w:pPr>
              <w:keepNext w:val="0"/>
              <w:keepLines w:val="0"/>
              <w:pageBreakBefore w:val="0"/>
              <w:widowControl w:val="0"/>
              <w:spacing w:before="0" w:after="0" w:line="240" w:lineRule="auto"/>
            </w:pPr>
            <w:r>
              <w:rPr>
                <w:rFonts w:ascii="Times New Roman" w:hAnsi="Times New Roman" w:eastAsia="Times New Roman"/>
                <w:b/>
                <w:i w:val="0"/>
                <w:sz w:val="19"/>
                <w:u w:val="none"/>
              </w:rPr>
              <w:t xml:space="preserve">Vendor-facing evidence. </w:t>
            </w:r>
            <w:r>
              <w:rPr>
                <w:rFonts w:ascii="Times New Roman" w:hAnsi="Times New Roman" w:eastAsia="Times New Roman"/>
                <w:b w:val="0"/>
                <w:i w:val="0"/>
                <w:sz w:val="19"/>
                <w:u w:val="none"/>
              </w:rPr>
              <w:t>Oracle Health Millennium and Veradigm FHIR documentation show that EHR APIs already distinguish collection or effective time from issued or availability time, reinforcing the need for a third, explicitly defined analysis timestamp rather than overloading either field. [19,20]</w:t>
            </w:r>
          </w:p>
        </w:tc>
      </w:tr>
      <w:tr w:rsidR="00D4016E" w:rsidRPr="00D4016E" w14:paraId="2F5AC2CD" w14:textId="77777777" w:rsidTr="4538474B">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1F1F1"/>
            <w:tcMar>
              <w:top w:w="90" w:type="dxa"/>
              <w:left w:w="60" w:type="dxa"/>
              <w:bottom w:w="90" w:type="dxa"/>
              <w:right w:w="60" w:type="dxa"/>
              <w:start w:w="90" w:type="dxa"/>
              <w:end w:w="90" w:type="dxa"/>
            </w:tcMar>
            <w:vAlign w:val="top"/>
            <w:hideMark/>
          </w:tcPr>
          <w:p>
            <w:pPr>
              <w:keepNext w:val="0"/>
              <w:keepLines w:val="0"/>
              <w:pageBreakBefore w:val="0"/>
              <w:widowControl w:val="0"/>
              <w:spacing w:before="0" w:after="0" w:line="240" w:lineRule="auto"/>
            </w:pPr>
            <w:r>
              <w:rPr>
                <w:rFonts w:ascii="Times New Roman" w:hAnsi="Times New Roman" w:eastAsia="Times New Roman"/>
                <w:b w:val="0"/>
                <w:i w:val="0"/>
                <w:sz w:val="18"/>
                <w:u w:val="none"/>
              </w:rPr>
              <w:t>Extent of exchange</w:t>
            </w:r>
          </w:p>
        </w:tc>
        <w:tc>
          <w:tcPr>
            <w:tcW w:w="651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Mar>
              <w:top w:w="90" w:type="dxa"/>
              <w:left w:w="60" w:type="dxa"/>
              <w:bottom w:w="90" w:type="dxa"/>
              <w:right w:w="60" w:type="dxa"/>
              <w:start w:w="90" w:type="dxa"/>
              <w:end w:w="90" w:type="dxa"/>
            </w:tcMar>
            <w:vAlign w:val="top"/>
            <w:hideMark/>
          </w:tcPr>
          <w:p>
            <w:pPr>
              <w:keepNext w:val="0"/>
              <w:keepLines w:val="0"/>
              <w:pageBreakBefore w:val="0"/>
              <w:widowControl w:val="0"/>
              <w:spacing w:before="0" w:after="0" w:line="240" w:lineRule="auto"/>
            </w:pPr>
            <w:r>
              <w:rPr>
                <w:rFonts w:ascii="Times New Roman" w:hAnsi="Times New Roman" w:eastAsia="Times New Roman"/>
                <w:b w:val="0"/>
                <w:i w:val="0"/>
                <w:sz w:val="19"/>
                <w:u w:val="none"/>
              </w:rPr>
              <w:t>The data originates in instruments, point-of-care devices, middleware, and LIS or LIMS; it can be exchanged to EHRs in HL7 v2 OBX-19 and onward to public health, registries, HIEs, and applications. Federal regulation adopts HL7 2.5.1 ELR for public-health laboratory reporting, and CDC reports nationwide standardized ELR at substantial scale. However, stakeholder comments indicate that availability of the specific timestamp to public health and downstream users remains inconsistent. This combination - mature source capture and messaging infrastructure but inconsistent receiver exposure - is precisely the type of interoperability problem USCDI is intended to address. [4,7-12,21]</w:t>
            </w:r>
          </w:p>
        </w:tc>
      </w:tr>
      <w:tr w:rsidR="00D4016E" w:rsidRPr="00D4016E" w14:paraId="34EB40C5" w14:textId="77777777" w:rsidTr="4538474B">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1F1F1"/>
            <w:tcMar>
              <w:top w:w="90" w:type="dxa"/>
              <w:left w:w="60" w:type="dxa"/>
              <w:bottom w:w="90" w:type="dxa"/>
              <w:right w:w="60" w:type="dxa"/>
              <w:start w:w="90" w:type="dxa"/>
              <w:end w:w="90" w:type="dxa"/>
            </w:tcMar>
            <w:vAlign w:val="top"/>
            <w:hideMark/>
          </w:tcPr>
          <w:p>
            <w:pPr>
              <w:keepNext w:val="0"/>
              <w:keepLines w:val="0"/>
              <w:pageBreakBefore w:val="0"/>
              <w:widowControl w:val="0"/>
              <w:spacing w:before="0" w:after="0" w:line="240" w:lineRule="auto"/>
            </w:pPr>
            <w:r>
              <w:rPr>
                <w:rFonts w:ascii="Times New Roman" w:hAnsi="Times New Roman" w:eastAsia="Times New Roman"/>
                <w:b w:val="0"/>
                <w:i w:val="0"/>
                <w:sz w:val="18"/>
                <w:u w:val="none"/>
              </w:rPr>
              <w:t>Supporting Artifacts</w:t>
            </w:r>
          </w:p>
        </w:tc>
        <w:tc>
          <w:tcPr>
            <w:tcW w:w="651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Mar>
              <w:top w:w="90" w:type="dxa"/>
              <w:left w:w="60" w:type="dxa"/>
              <w:bottom w:w="90" w:type="dxa"/>
              <w:right w:w="60" w:type="dxa"/>
              <w:start w:w="90" w:type="dxa"/>
              <w:end w:w="90" w:type="dxa"/>
            </w:tcMar>
            <w:vAlign w:val="top"/>
            <w:hideMark/>
          </w:tcPr>
          <w:p>
            <w:pPr>
              <w:keepNext w:val="0"/>
              <w:keepLines w:val="0"/>
              <w:pageBreakBefore w:val="0"/>
              <w:widowControl w:val="0"/>
              <w:spacing w:before="0" w:after="50" w:line="240" w:lineRule="auto"/>
            </w:pPr>
            <w:r>
              <w:rPr>
                <w:rFonts w:ascii="Times New Roman" w:hAnsi="Times New Roman" w:eastAsia="Times New Roman"/>
                <w:b/>
                <w:i w:val="0"/>
                <w:sz w:val="19"/>
                <w:u w:val="none"/>
              </w:rPr>
              <w:t xml:space="preserve">Certification and public-health exchange. </w:t>
            </w:r>
            <w:r>
              <w:rPr>
                <w:rFonts w:ascii="Times New Roman" w:hAnsi="Times New Roman" w:eastAsia="Times New Roman"/>
                <w:b w:val="0"/>
                <w:i w:val="0"/>
                <w:sz w:val="19"/>
                <w:u w:val="none"/>
              </w:rPr>
              <w:t>45 CFR 170.205(g) adopts HL7 2.5.1 and the HL7 Version 2.5.1 Implementation Guide: Electronic Laboratory Reporting to Public Health, Release 1, with errata and clarifications, for electronic transmission of laboratory results to public health agencies. [7]</w:t>
            </w:r>
          </w:p>
          <w:p>
            <w:pPr>
              <w:keepNext w:val="0"/>
              <w:keepLines w:val="0"/>
              <w:pageBreakBefore w:val="0"/>
              <w:widowControl w:val="0"/>
              <w:spacing w:before="0" w:after="50" w:line="240" w:lineRule="auto"/>
            </w:pPr>
            <w:r>
              <w:rPr>
                <w:rFonts w:ascii="Times New Roman" w:hAnsi="Times New Roman" w:eastAsia="Times New Roman"/>
                <w:b/>
                <w:i w:val="0"/>
                <w:sz w:val="19"/>
                <w:u w:val="none"/>
              </w:rPr>
              <w:t xml:space="preserve">Existing implementation guides. </w:t>
            </w:r>
            <w:r>
              <w:rPr>
                <w:rFonts w:ascii="Times New Roman" w:hAnsi="Times New Roman" w:eastAsia="Times New Roman"/>
                <w:b w:val="0"/>
                <w:i w:val="0"/>
                <w:sz w:val="19"/>
                <w:u w:val="none"/>
              </w:rPr>
              <w:t>The original submission identifies OBX-19 as supported in laboratory-result and public-health implementation guides, including LRI, ELR, and NAACCR pathology laboratory electronic reporting. [22-24]</w:t>
            </w:r>
          </w:p>
          <w:p>
            <w:pPr>
              <w:keepNext w:val="0"/>
              <w:keepLines w:val="0"/>
              <w:pageBreakBefore w:val="0"/>
              <w:widowControl w:val="0"/>
              <w:spacing w:before="0" w:after="0" w:line="240" w:lineRule="auto"/>
            </w:pPr>
            <w:r>
              <w:rPr>
                <w:rFonts w:ascii="Times New Roman" w:hAnsi="Times New Roman" w:eastAsia="Times New Roman"/>
                <w:b/>
                <w:i w:val="0"/>
                <w:sz w:val="19"/>
                <w:u w:val="none"/>
              </w:rPr>
              <w:t xml:space="preserve">Standards alignment. </w:t>
            </w:r>
            <w:r>
              <w:rPr>
                <w:rFonts w:ascii="Times New Roman" w:hAnsi="Times New Roman" w:eastAsia="Times New Roman"/>
                <w:b w:val="0"/>
                <w:i w:val="0"/>
                <w:sz w:val="19"/>
                <w:u w:val="none"/>
              </w:rPr>
              <w:t>A USCDI element mapped to OBX-19 and the FHIR AnalysisDateTime extension would preserve the same semantic event across legacy v2 and modern FHIR exchange and reduce lossy conversion to effective or issued timestamps. [4-6,21]</w:t>
            </w:r>
          </w:p>
        </w:tc>
      </w:tr>
      <w:tr w:rsidR="00D4016E" w:rsidRPr="00D4016E" w14:paraId="3F22C3DC" w14:textId="77777777" w:rsidTr="4538474B">
        <w:tc>
          <w:tcPr>
            <w:tcW w:w="0" w:type="auto"/>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0EBFC"/>
            <w:tcMar>
              <w:top w:w="75" w:type="dxa"/>
              <w:left w:w="60" w:type="dxa"/>
              <w:bottom w:w="75" w:type="dxa"/>
              <w:right w:w="60" w:type="dxa"/>
              <w:start w:w="90" w:type="dxa"/>
              <w:end w:w="90" w:type="dxa"/>
            </w:tcMar>
            <w:vAlign w:val="center"/>
            <w:hideMark/>
          </w:tcPr>
          <w:p>
            <w:pPr>
              <w:keepNext/>
              <w:keepLines w:val="0"/>
              <w:pageBreakBefore w:val="0"/>
              <w:widowControl w:val="0"/>
              <w:spacing w:before="0" w:after="0" w:line="240" w:lineRule="auto"/>
              <w:jc w:val="center"/>
            </w:pPr>
            <w:r>
              <w:rPr>
                <w:rFonts w:ascii="Times New Roman" w:hAnsi="Times New Roman" w:eastAsia="Times New Roman"/>
                <w:b/>
                <w:i w:val="0"/>
                <w:sz w:val="20"/>
                <w:u w:val="none"/>
              </w:rPr>
              <w:t>Potential Challenges</w:t>
            </w:r>
          </w:p>
        </w:tc>
      </w:tr>
      <w:tr w:rsidR="00D4016E" w:rsidRPr="00D4016E" w14:paraId="4E24326C" w14:textId="77777777" w:rsidTr="4538474B">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1F1F1"/>
            <w:tcMar>
              <w:top w:w="90" w:type="dxa"/>
              <w:left w:w="60" w:type="dxa"/>
              <w:bottom w:w="90" w:type="dxa"/>
              <w:right w:w="60" w:type="dxa"/>
              <w:start w:w="90" w:type="dxa"/>
              <w:end w:w="90" w:type="dxa"/>
            </w:tcMar>
            <w:vAlign w:val="top"/>
            <w:hideMark/>
          </w:tcPr>
          <w:p>
            <w:pPr>
              <w:keepNext w:val="0"/>
              <w:keepLines w:val="0"/>
              <w:pageBreakBefore w:val="0"/>
              <w:widowControl w:val="0"/>
              <w:spacing w:before="0" w:after="0" w:line="240" w:lineRule="auto"/>
            </w:pPr>
            <w:r>
              <w:rPr>
                <w:rFonts w:ascii="Times New Roman" w:hAnsi="Times New Roman" w:eastAsia="Times New Roman"/>
                <w:b w:val="0"/>
                <w:i w:val="0"/>
                <w:sz w:val="18"/>
                <w:u w:val="none"/>
              </w:rPr>
              <w:t>Restrictions on Standardization (e.g. proprietary code)</w:t>
            </w:r>
          </w:p>
        </w:tc>
        <w:tc>
          <w:tcPr>
            <w:tcW w:w="651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Mar>
              <w:top w:w="90" w:type="dxa"/>
              <w:left w:w="60" w:type="dxa"/>
              <w:bottom w:w="90" w:type="dxa"/>
              <w:right w:w="60" w:type="dxa"/>
              <w:start w:w="90" w:type="dxa"/>
              <w:end w:w="90" w:type="dxa"/>
            </w:tcMar>
            <w:vAlign w:val="top"/>
            <w:hideMark/>
          </w:tcPr>
          <w:p>
            <w:pPr>
              <w:keepNext w:val="0"/>
              <w:keepLines w:val="0"/>
              <w:pageBreakBefore w:val="0"/>
              <w:widowControl w:val="0"/>
              <w:spacing w:before="0" w:after="0" w:line="240" w:lineRule="auto"/>
            </w:pPr>
            <w:r>
              <w:rPr>
                <w:rFonts w:ascii="Times New Roman" w:hAnsi="Times New Roman" w:eastAsia="Times New Roman"/>
                <w:b w:val="0"/>
                <w:i w:val="0"/>
                <w:sz w:val="19"/>
                <w:u w:val="none"/>
              </w:rPr>
              <w:t>No proprietary code system is required. The principal standardization issue is semantic consistency: implementers must agree that the value is the analytical-result generation time, not collection, receipt, verification, interface arrival, or release time. HL7 v2 provides a mature field; the FHIR extension exists but remains trial use and is not presently part of the US Core laboratory profile. [4-6,21]</w:t>
            </w:r>
          </w:p>
        </w:tc>
      </w:tr>
      <w:tr w:rsidR="00D4016E" w:rsidRPr="00D4016E" w14:paraId="5A7A9FCC" w14:textId="77777777" w:rsidTr="4538474B">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1F1F1"/>
            <w:tcMar>
              <w:top w:w="90" w:type="dxa"/>
              <w:left w:w="60" w:type="dxa"/>
              <w:bottom w:w="90" w:type="dxa"/>
              <w:right w:w="60" w:type="dxa"/>
              <w:start w:w="90" w:type="dxa"/>
              <w:end w:w="90" w:type="dxa"/>
            </w:tcMar>
            <w:vAlign w:val="top"/>
            <w:hideMark/>
          </w:tcPr>
          <w:p>
            <w:pPr>
              <w:keepNext w:val="0"/>
              <w:keepLines w:val="0"/>
              <w:pageBreakBefore w:val="0"/>
              <w:widowControl w:val="0"/>
              <w:spacing w:before="0" w:after="0" w:line="240" w:lineRule="auto"/>
            </w:pPr>
            <w:r>
              <w:rPr>
                <w:rFonts w:ascii="Times New Roman" w:hAnsi="Times New Roman" w:eastAsia="Times New Roman"/>
                <w:b w:val="0"/>
                <w:i w:val="0"/>
                <w:sz w:val="18"/>
                <w:u w:val="none"/>
              </w:rPr>
              <w:t>Restrictions on Use (e.g. licensing, user fees)</w:t>
            </w:r>
          </w:p>
        </w:tc>
        <w:tc>
          <w:tcPr>
            <w:tcW w:w="651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Mar>
              <w:top w:w="90" w:type="dxa"/>
              <w:left w:w="60" w:type="dxa"/>
              <w:bottom w:w="90" w:type="dxa"/>
              <w:right w:w="60" w:type="dxa"/>
              <w:start w:w="90" w:type="dxa"/>
              <w:end w:w="90" w:type="dxa"/>
            </w:tcMar>
            <w:vAlign w:val="top"/>
            <w:hideMark/>
          </w:tcPr>
          <w:p>
            <w:pPr>
              <w:keepNext w:val="0"/>
              <w:keepLines w:val="0"/>
              <w:pageBreakBefore w:val="0"/>
              <w:widowControl w:val="0"/>
              <w:spacing w:before="0" w:after="0" w:line="240" w:lineRule="auto"/>
            </w:pPr>
            <w:r>
              <w:rPr>
                <w:rFonts w:ascii="Times New Roman" w:hAnsi="Times New Roman" w:eastAsia="Times New Roman"/>
                <w:b w:val="0"/>
                <w:i w:val="0"/>
                <w:sz w:val="19"/>
                <w:u w:val="none"/>
              </w:rPr>
              <w:t>No data-use restriction unique to this element is known. Implementers remain subject to the terms applicable to any referenced standards and to organizational policies governing laboratory data exchange.</w:t>
            </w:r>
          </w:p>
        </w:tc>
      </w:tr>
      <w:tr w:rsidR="00D4016E" w:rsidRPr="00D4016E" w14:paraId="7F1BA59E" w14:textId="77777777" w:rsidTr="4538474B">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1F1F1"/>
            <w:tcMar>
              <w:top w:w="90" w:type="dxa"/>
              <w:left w:w="60" w:type="dxa"/>
              <w:bottom w:w="90" w:type="dxa"/>
              <w:right w:w="60" w:type="dxa"/>
              <w:start w:w="90" w:type="dxa"/>
              <w:end w:w="90" w:type="dxa"/>
            </w:tcMar>
            <w:vAlign w:val="top"/>
            <w:hideMark/>
          </w:tcPr>
          <w:p>
            <w:pPr>
              <w:keepNext w:val="0"/>
              <w:keepLines w:val="0"/>
              <w:pageBreakBefore w:val="0"/>
              <w:widowControl w:val="0"/>
              <w:spacing w:before="0" w:after="0" w:line="240" w:lineRule="auto"/>
            </w:pPr>
            <w:r>
              <w:rPr>
                <w:rFonts w:ascii="Times New Roman" w:hAnsi="Times New Roman" w:eastAsia="Times New Roman"/>
                <w:b w:val="0"/>
                <w:i w:val="0"/>
                <w:sz w:val="18"/>
                <w:u w:val="none"/>
              </w:rPr>
              <w:t>Privacy and Security Concerns</w:t>
            </w:r>
          </w:p>
        </w:tc>
        <w:tc>
          <w:tcPr>
            <w:tcW w:w="651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Mar>
              <w:top w:w="90" w:type="dxa"/>
              <w:left w:w="60" w:type="dxa"/>
              <w:bottom w:w="90" w:type="dxa"/>
              <w:right w:w="60" w:type="dxa"/>
              <w:start w:w="90" w:type="dxa"/>
              <w:end w:w="90" w:type="dxa"/>
            </w:tcMar>
            <w:vAlign w:val="top"/>
            <w:hideMark/>
          </w:tcPr>
          <w:p>
            <w:pPr>
              <w:keepNext w:val="0"/>
              <w:keepLines w:val="0"/>
              <w:pageBreakBefore w:val="0"/>
              <w:widowControl w:val="0"/>
              <w:spacing w:before="0" w:after="0" w:line="240" w:lineRule="auto"/>
            </w:pPr>
            <w:r>
              <w:rPr>
                <w:rFonts w:ascii="Times New Roman" w:hAnsi="Times New Roman" w:eastAsia="Times New Roman"/>
                <w:b w:val="0"/>
                <w:i w:val="0"/>
                <w:sz w:val="19"/>
                <w:u w:val="none"/>
              </w:rPr>
              <w:t>The timestamp is protected health information when linked to an identifiable patient and laboratory result, but it introduces no unique category of privacy risk beyond the result itself. Standard access control, minimum-necessary, audit, consent, data-segmentation, and secure-transport practices should apply. Because detailed timestamps can reveal encounter or testing chronology, downstream displays and secondary-use datasets should apply the same privacy controls used for other laboratory provenance data.</w:t>
            </w:r>
          </w:p>
        </w:tc>
      </w:tr>
      <w:tr w:rsidR="00D4016E" w:rsidRPr="00D4016E" w14:paraId="6962B15D" w14:textId="77777777" w:rsidTr="4538474B">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1F1F1"/>
            <w:tcMar>
              <w:top w:w="90" w:type="dxa"/>
              <w:left w:w="60" w:type="dxa"/>
              <w:bottom w:w="90" w:type="dxa"/>
              <w:right w:w="60" w:type="dxa"/>
              <w:start w:w="90" w:type="dxa"/>
              <w:end w:w="90" w:type="dxa"/>
            </w:tcMar>
            <w:vAlign w:val="top"/>
            <w:hideMark/>
          </w:tcPr>
          <w:p>
            <w:pPr>
              <w:keepNext w:val="0"/>
              <w:keepLines w:val="0"/>
              <w:pageBreakBefore w:val="0"/>
              <w:widowControl w:val="0"/>
              <w:spacing w:before="0" w:after="0" w:line="240" w:lineRule="auto"/>
            </w:pPr>
            <w:r>
              <w:rPr>
                <w:rFonts w:ascii="Times New Roman" w:hAnsi="Times New Roman" w:eastAsia="Times New Roman"/>
                <w:b w:val="0"/>
                <w:i w:val="0"/>
                <w:sz w:val="18"/>
                <w:u w:val="none"/>
              </w:rPr>
              <w:t>Estimate of Overall Burden</w:t>
            </w:r>
          </w:p>
        </w:tc>
        <w:tc>
          <w:tcPr>
            <w:tcW w:w="651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Mar>
              <w:top w:w="90" w:type="dxa"/>
              <w:left w:w="60" w:type="dxa"/>
              <w:bottom w:w="90" w:type="dxa"/>
              <w:right w:w="60" w:type="dxa"/>
              <w:start w:w="90" w:type="dxa"/>
              <w:end w:w="90" w:type="dxa"/>
            </w:tcMar>
            <w:vAlign w:val="top"/>
            <w:hideMark/>
          </w:tcPr>
          <w:p>
            <w:pPr>
              <w:keepNext w:val="0"/>
              <w:keepLines w:val="0"/>
              <w:pageBreakBefore w:val="0"/>
              <w:widowControl w:val="0"/>
              <w:spacing w:before="0" w:after="0" w:line="240" w:lineRule="auto"/>
            </w:pPr>
            <w:r>
              <w:rPr>
                <w:rFonts w:ascii="Times New Roman" w:hAnsi="Times New Roman" w:eastAsia="Times New Roman"/>
                <w:b w:val="0"/>
                <w:i w:val="0"/>
                <w:sz w:val="19"/>
                <w:u w:val="none"/>
              </w:rPr>
              <w:t>Low to moderate. The data is already generated in many instruments, point-of-care devices, middleware, and LIS or LIMS and has a longstanding HL7 v2 field, so source-workflow burden should be low. Some EHR, interface-engine, HIE, public-health, and API implementations will need mapping, storage, display, conformance testing, and FHIR-extension support. The burden is therefore primarily interoperability and receiver implementation work rather than new manual clinical documentation. [3,4,6,8-11,19-21]</w:t>
            </w:r>
          </w:p>
        </w:tc>
      </w:tr>
      <w:tr w:rsidR="00D4016E" w:rsidRPr="00D4016E" w14:paraId="2205EE14" w14:textId="77777777" w:rsidTr="4538474B">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1F1F1"/>
            <w:tcMar>
              <w:top w:w="90" w:type="dxa"/>
              <w:left w:w="60" w:type="dxa"/>
              <w:bottom w:w="90" w:type="dxa"/>
              <w:right w:w="60" w:type="dxa"/>
              <w:start w:w="90" w:type="dxa"/>
              <w:end w:w="90" w:type="dxa"/>
            </w:tcMar>
            <w:vAlign w:val="top"/>
            <w:hideMark/>
          </w:tcPr>
          <w:p>
            <w:pPr>
              <w:keepNext w:val="0"/>
              <w:keepLines w:val="0"/>
              <w:pageBreakBefore w:val="0"/>
              <w:widowControl w:val="0"/>
              <w:spacing w:before="0" w:after="0" w:line="240" w:lineRule="auto"/>
            </w:pPr>
            <w:r>
              <w:rPr>
                <w:rFonts w:ascii="Times New Roman" w:hAnsi="Times New Roman" w:eastAsia="Times New Roman"/>
                <w:b w:val="0"/>
                <w:i w:val="0"/>
                <w:sz w:val="18"/>
                <w:u w:val="none"/>
              </w:rPr>
              <w:t>Other Implementation Challenges</w:t>
            </w:r>
          </w:p>
        </w:tc>
        <w:tc>
          <w:tcPr>
            <w:tcW w:w="651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Mar>
              <w:top w:w="90" w:type="dxa"/>
              <w:left w:w="60" w:type="dxa"/>
              <w:bottom w:w="90" w:type="dxa"/>
              <w:right w:w="60" w:type="dxa"/>
              <w:start w:w="90" w:type="dxa"/>
              <w:end w:w="90" w:type="dxa"/>
            </w:tcMar>
            <w:vAlign w:val="top"/>
            <w:hideMark/>
          </w:tcPr>
          <w:p>
            <w:pPr>
              <w:keepNext w:val="0"/>
              <w:keepLines w:val="0"/>
              <w:pageBreakBefore w:val="0"/>
              <w:widowControl w:val="0"/>
              <w:spacing w:before="0" w:after="50" w:line="240" w:lineRule="auto"/>
            </w:pPr>
            <w:r>
              <w:rPr>
                <w:rFonts w:ascii="Times New Roman" w:hAnsi="Times New Roman" w:eastAsia="Times New Roman"/>
                <w:b/>
                <w:i w:val="0"/>
                <w:sz w:val="19"/>
                <w:u w:val="none"/>
              </w:rPr>
              <w:t xml:space="preserve">Event semantics. </w:t>
            </w:r>
            <w:r>
              <w:rPr>
                <w:rFonts w:ascii="Times New Roman" w:hAnsi="Times New Roman" w:eastAsia="Times New Roman"/>
                <w:b w:val="0"/>
                <w:i w:val="0"/>
                <w:sz w:val="19"/>
                <w:u w:val="none"/>
              </w:rPr>
              <w:t>Document whether the source event is instrument result generation or technologist analytical completion; do not substitute verification or release merely because it is available.</w:t>
            </w:r>
          </w:p>
          <w:p>
            <w:pPr>
              <w:keepNext w:val="0"/>
              <w:keepLines w:val="0"/>
              <w:pageBreakBefore w:val="0"/>
              <w:widowControl w:val="0"/>
              <w:spacing w:before="0" w:after="50" w:line="240" w:lineRule="auto"/>
            </w:pPr>
            <w:r>
              <w:rPr>
                <w:rFonts w:ascii="Times New Roman" w:hAnsi="Times New Roman" w:eastAsia="Times New Roman"/>
                <w:b/>
                <w:i w:val="0"/>
                <w:sz w:val="19"/>
                <w:u w:val="none"/>
              </w:rPr>
              <w:t xml:space="preserve">Multiple analyses and versions. </w:t>
            </w:r>
            <w:r>
              <w:rPr>
                <w:rFonts w:ascii="Times New Roman" w:hAnsi="Times New Roman" w:eastAsia="Times New Roman"/>
                <w:b w:val="0"/>
                <w:i w:val="0"/>
                <w:sz w:val="19"/>
                <w:u w:val="none"/>
              </w:rPr>
              <w:t>Retain a result-level timestamp for each reanalysis or analytical determination and preserve prior history; do not overwrite the original time when only a report is corrected.</w:t>
            </w:r>
          </w:p>
          <w:p>
            <w:pPr>
              <w:keepNext w:val="0"/>
              <w:keepLines w:val="0"/>
              <w:pageBreakBefore w:val="0"/>
              <w:widowControl w:val="0"/>
              <w:spacing w:before="0" w:after="50" w:line="240" w:lineRule="auto"/>
            </w:pPr>
            <w:r>
              <w:rPr>
                <w:rFonts w:ascii="Times New Roman" w:hAnsi="Times New Roman" w:eastAsia="Times New Roman"/>
                <w:b/>
                <w:i w:val="0"/>
                <w:sz w:val="19"/>
                <w:u w:val="none"/>
              </w:rPr>
              <w:t xml:space="preserve">Panels and multi-stage methods. </w:t>
            </w:r>
            <w:r>
              <w:rPr>
                <w:rFonts w:ascii="Times New Roman" w:hAnsi="Times New Roman" w:eastAsia="Times New Roman"/>
                <w:b w:val="0"/>
                <w:i w:val="0"/>
                <w:sz w:val="19"/>
                <w:u w:val="none"/>
              </w:rPr>
              <w:t>Permit component-level values and define the event used for manual, staged, culture, pathology, and molecular workflows. More specialized timestamps may coexist when needed.</w:t>
            </w:r>
          </w:p>
          <w:p>
            <w:pPr>
              <w:keepNext w:val="0"/>
              <w:keepLines w:val="0"/>
              <w:pageBreakBefore w:val="0"/>
              <w:widowControl w:val="0"/>
              <w:spacing w:before="0" w:after="50" w:line="240" w:lineRule="auto"/>
            </w:pPr>
            <w:r>
              <w:rPr>
                <w:rFonts w:ascii="Times New Roman" w:hAnsi="Times New Roman" w:eastAsia="Times New Roman"/>
                <w:b/>
                <w:i w:val="0"/>
                <w:sz w:val="19"/>
                <w:u w:val="none"/>
              </w:rPr>
              <w:t xml:space="preserve">Time zone, precision, and clock synchronization. </w:t>
            </w:r>
            <w:r>
              <w:rPr>
                <w:rFonts w:ascii="Times New Roman" w:hAnsi="Times New Roman" w:eastAsia="Times New Roman"/>
                <w:b w:val="0"/>
                <w:i w:val="0"/>
                <w:sz w:val="19"/>
                <w:u w:val="none"/>
              </w:rPr>
              <w:t>Preserve source precision and UTC offset, account for daylight-saving transitions, and synchronize instrument, middleware, LIS, interface, and EHR clocks.</w:t>
            </w:r>
          </w:p>
          <w:p>
            <w:pPr>
              <w:keepNext w:val="0"/>
              <w:keepLines w:val="0"/>
              <w:pageBreakBefore w:val="0"/>
              <w:widowControl w:val="0"/>
              <w:spacing w:before="0" w:after="50" w:line="240" w:lineRule="auto"/>
            </w:pPr>
            <w:r>
              <w:rPr>
                <w:rFonts w:ascii="Times New Roman" w:hAnsi="Times New Roman" w:eastAsia="Times New Roman"/>
                <w:b/>
                <w:i w:val="0"/>
                <w:sz w:val="19"/>
                <w:u w:val="none"/>
              </w:rPr>
              <w:t xml:space="preserve">Legacy and missing data. </w:t>
            </w:r>
            <w:r>
              <w:rPr>
                <w:rFonts w:ascii="Times New Roman" w:hAnsi="Times New Roman" w:eastAsia="Times New Roman"/>
                <w:b w:val="0"/>
                <w:i w:val="0"/>
                <w:sz w:val="19"/>
                <w:u w:val="none"/>
              </w:rPr>
              <w:t>Support unknown or unavailable values without inventing a proxy. Do not populate performed time from collection or issued time unless the source explicitly identifies the events as the same.</w:t>
            </w:r>
          </w:p>
          <w:p>
            <w:pPr>
              <w:keepNext w:val="0"/>
              <w:keepLines w:val="0"/>
              <w:pageBreakBefore w:val="0"/>
              <w:widowControl w:val="0"/>
              <w:spacing w:before="0" w:after="50" w:line="240" w:lineRule="auto"/>
            </w:pPr>
            <w:r>
              <w:rPr>
                <w:rFonts w:ascii="Times New Roman" w:hAnsi="Times New Roman" w:eastAsia="Times New Roman"/>
                <w:b/>
                <w:i w:val="0"/>
                <w:sz w:val="19"/>
                <w:u w:val="none"/>
              </w:rPr>
              <w:t xml:space="preserve">v2-to-FHIR conversion. </w:t>
            </w:r>
            <w:r>
              <w:rPr>
                <w:rFonts w:ascii="Times New Roman" w:hAnsi="Times New Roman" w:eastAsia="Times New Roman"/>
                <w:b w:val="0"/>
                <w:i w:val="0"/>
                <w:sz w:val="19"/>
                <w:u w:val="none"/>
              </w:rPr>
              <w:t>Map OBX-19 to the AnalysisDateTime extension or an explicitly profiled equivalent rather than discarding it or mapping it to effective[x] or issued.</w:t>
            </w:r>
          </w:p>
          <w:p>
            <w:pPr>
              <w:keepNext w:val="0"/>
              <w:keepLines w:val="0"/>
              <w:pageBreakBefore w:val="0"/>
              <w:widowControl w:val="0"/>
              <w:spacing w:before="0" w:after="50" w:line="240" w:lineRule="auto"/>
            </w:pPr>
            <w:r>
              <w:rPr>
                <w:rFonts w:ascii="Times New Roman" w:hAnsi="Times New Roman" w:eastAsia="Times New Roman"/>
                <w:b/>
                <w:i w:val="0"/>
                <w:sz w:val="19"/>
                <w:u w:val="none"/>
              </w:rPr>
              <w:t xml:space="preserve">User-interface burden. </w:t>
            </w:r>
            <w:r>
              <w:rPr>
                <w:rFonts w:ascii="Times New Roman" w:hAnsi="Times New Roman" w:eastAsia="Times New Roman"/>
                <w:b w:val="0"/>
                <w:i w:val="0"/>
                <w:sz w:val="19"/>
                <w:u w:val="none"/>
              </w:rPr>
              <w:t>The element need not be prominent in every result list. It can be available in result details, provenance, audit, decision support, and data export while collection and issued times remain displayed according to clinical need.</w:t>
            </w:r>
          </w:p>
          <w:p>
            <w:pPr>
              <w:keepNext w:val="0"/>
              <w:keepLines w:val="0"/>
              <w:pageBreakBefore w:val="0"/>
              <w:widowControl w:val="0"/>
              <w:spacing w:before="0" w:after="50" w:line="240" w:lineRule="auto"/>
            </w:pPr>
            <w:r>
              <w:rPr>
                <w:rFonts w:ascii="Times New Roman" w:hAnsi="Times New Roman" w:eastAsia="Times New Roman"/>
                <w:b/>
                <w:i w:val="0"/>
                <w:sz w:val="19"/>
                <w:u w:val="none"/>
              </w:rPr>
              <w:t xml:space="preserve">Conformance and testing. </w:t>
            </w:r>
            <w:r>
              <w:rPr>
                <w:rFonts w:ascii="Times New Roman" w:hAnsi="Times New Roman" w:eastAsia="Times New Roman"/>
                <w:b w:val="0"/>
                <w:i w:val="0"/>
                <w:sz w:val="19"/>
                <w:u w:val="none"/>
              </w:rPr>
              <w:t>Test round-trip preservation across instrument, LIS, interface engine, EHR, HIE, public-health, and FHIR API boundaries, including reanalysis and corrected-result scenarios.</w:t>
            </w:r>
          </w:p>
          <w:p>
            <w:pPr>
              <w:keepNext w:val="0"/>
              <w:keepLines w:val="0"/>
              <w:pageBreakBefore w:val="0"/>
              <w:widowControl w:val="0"/>
              <w:spacing w:before="0" w:after="0" w:line="240" w:lineRule="auto"/>
            </w:pPr>
            <w:r>
              <w:rPr>
                <w:rFonts w:ascii="Times New Roman" w:hAnsi="Times New Roman" w:eastAsia="Times New Roman"/>
                <w:b/>
                <w:i w:val="0"/>
                <w:sz w:val="19"/>
                <w:u w:val="none"/>
              </w:rPr>
              <w:t xml:space="preserve">Recommended mitigation. </w:t>
            </w:r>
            <w:r>
              <w:rPr>
                <w:rFonts w:ascii="Times New Roman" w:hAnsi="Times New Roman" w:eastAsia="Times New Roman"/>
                <w:b w:val="0"/>
                <w:i w:val="0"/>
                <w:sz w:val="19"/>
                <w:u w:val="none"/>
              </w:rPr>
              <w:t>Adopt a precise definition and usage note; preserve time-zone and precision; bind the element to the laboratory result or component; retain version history; use OBX-19 and the FHIR AnalysisDateTime extension as canonical mappings; and explicitly prohibit substitution of collection or issued time. [4-6,21]</w:t>
            </w:r>
          </w:p>
        </w:tc>
      </w:tr>
      <w:tr>
        <w:tc>
          <w:tcPr>
            <w:tcW w:type="dxa" w:w="13042"/>
            <w:gridSpan w:val="2"/>
            <w:shd w:fill="D0EBFC" w:val="clear"/>
            <w:tcMar>
              <w:top w:w="75" w:type="dxa"/>
              <w:start w:w="90" w:type="dxa"/>
              <w:bottom w:w="75" w:type="dxa"/>
              <w:end w:w="90" w:type="dxa"/>
            </w:tcMar>
            <w:vAlign w:val="center"/>
            <w:tcBorders>
              <w:top w:val="single" w:sz="6" w:space="0" w:color="000000"/>
              <w:left w:val="single" w:sz="6" w:space="0" w:color="000000"/>
              <w:bottom w:val="single" w:sz="6" w:space="0" w:color="000000"/>
              <w:right w:val="single" w:sz="6" w:space="0" w:color="000000"/>
            </w:tcBorders>
          </w:tcPr>
          <w:p>
            <w:pPr>
              <w:keepNext/>
              <w:keepLines w:val="0"/>
              <w:pageBreakBefore/>
              <w:widowControl w:val="0"/>
              <w:spacing w:before="0" w:after="0" w:line="240" w:lineRule="auto"/>
              <w:jc w:val="center"/>
            </w:pPr>
            <w:r>
              <w:rPr>
                <w:rFonts w:ascii="Times New Roman" w:hAnsi="Times New Roman" w:eastAsia="Times New Roman"/>
                <w:b/>
                <w:i w:val="0"/>
                <w:sz w:val="20"/>
                <w:u w:val="none"/>
              </w:rPr>
              <w:t>References</w:t>
            </w:r>
          </w:p>
        </w:tc>
      </w:tr>
      <w:tr>
        <w:tc>
          <w:tcPr>
            <w:tcW w:type="dxa" w:w="13042"/>
            <w:gridSpan w:val="2"/>
            <w:shd w:fill="FFFFFF" w:val="clear"/>
            <w:tcMar>
              <w:top w:w="90" w:type="dxa"/>
              <w:start w:w="90" w:type="dxa"/>
              <w:bottom w:w="90" w:type="dxa"/>
              <w:end w:w="90" w:type="dxa"/>
            </w:tcMar>
            <w:vAlign w:val="top"/>
            <w:tcBorders>
              <w:top w:val="single" w:sz="6" w:space="0" w:color="000000"/>
              <w:left w:val="single" w:sz="6" w:space="0" w:color="000000"/>
              <w:bottom w:val="single" w:sz="6" w:space="0" w:color="000000"/>
              <w:right w:val="single" w:sz="6" w:space="0" w:color="000000"/>
            </w:tcBorders>
          </w:tcPr>
          <w:p>
            <w:pPr>
              <w:keepNext w:val="0"/>
              <w:keepLines w:val="0"/>
              <w:pageBreakBefore w:val="0"/>
              <w:widowControl w:val="0"/>
              <w:spacing w:before="0" w:after="60" w:line="240" w:lineRule="auto"/>
            </w:pPr>
            <w:r>
              <w:rPr>
                <w:rFonts w:ascii="Times New Roman" w:hAnsi="Times New Roman" w:eastAsia="Times New Roman"/>
                <w:b w:val="0"/>
                <w:i/>
                <w:sz w:val="17"/>
                <w:u w:val="none"/>
              </w:rPr>
              <w:t>Normative standards and official sources are listed first. References [8]-[10] are stakeholder comments hosted by ASTP/ONC and are cited as implementation evidence and use-case input, not as normative requirements.</w:t>
            </w:r>
          </w:p>
          <w:p>
            <w:pPr>
              <w:keepNext w:val="0"/>
              <w:keepLines/>
              <w:pageBreakBefore w:val="0"/>
              <w:widowControl w:val="0"/>
              <w:spacing w:before="0" w:after="40" w:line="240" w:lineRule="auto"/>
              <w:ind w:left="403" w:hanging="403"/>
            </w:pPr>
            <w:r>
              <w:rPr>
                <w:rFonts w:ascii="Times New Roman" w:hAnsi="Times New Roman" w:eastAsia="Times New Roman"/>
                <w:b/>
                <w:i w:val="0"/>
                <w:sz w:val="17"/>
                <w:u w:val="none"/>
              </w:rPr>
              <w:t xml:space="preserve">[1] </w:t>
            </w:r>
            <w:r>
              <w:rPr>
                <w:rFonts w:ascii="Times New Roman" w:hAnsi="Times New Roman" w:eastAsia="Times New Roman"/>
                <w:b w:val="0"/>
                <w:i w:val="0"/>
                <w:sz w:val="17"/>
                <w:u w:val="none"/>
              </w:rPr>
              <w:t xml:space="preserve">Assistant Secretary for Technology Policy/Office of the National Coordinator for Health Information Technology (ASTP/ONC). ONC Standards Bulletin 2026-2: development of USCDI Version 7; released July 23, 2026. </w:t>
            </w:r>
            <w:hyperlink r:id="rId17">
              <w:r>
                <w:rPr>
                  <w:rFonts w:ascii="Times New Roman" w:hAnsi="Times New Roman" w:eastAsia="Times New Roman"/>
                  <w:color w:val="0563C1"/>
                  <w:u w:val="single"/>
                  <w:sz w:val="17"/>
                  <w:szCs w:val="17"/>
                </w:rPr>
                <w:t>Available online</w:t>
              </w:r>
            </w:hyperlink>
          </w:p>
          <w:p>
            <w:pPr>
              <w:keepNext w:val="0"/>
              <w:keepLines/>
              <w:pageBreakBefore w:val="0"/>
              <w:widowControl w:val="0"/>
              <w:spacing w:before="0" w:after="40" w:line="240" w:lineRule="auto"/>
              <w:ind w:left="403" w:hanging="403"/>
            </w:pPr>
            <w:r>
              <w:rPr>
                <w:rFonts w:ascii="Times New Roman" w:hAnsi="Times New Roman" w:eastAsia="Times New Roman"/>
                <w:b/>
                <w:i w:val="0"/>
                <w:sz w:val="17"/>
                <w:u w:val="none"/>
              </w:rPr>
              <w:t xml:space="preserve">[2] </w:t>
            </w:r>
            <w:r>
              <w:rPr>
                <w:rFonts w:ascii="Times New Roman" w:hAnsi="Times New Roman" w:eastAsia="Times New Roman"/>
                <w:b w:val="0"/>
                <w:i w:val="0"/>
                <w:sz w:val="17"/>
                <w:u w:val="none"/>
              </w:rPr>
              <w:t xml:space="preserve">Electronic Code of Federal Regulations. 42 CFR 493.1241, Standard: Test request. </w:t>
            </w:r>
            <w:hyperlink r:id="rId18">
              <w:r>
                <w:rPr>
                  <w:rFonts w:ascii="Times New Roman" w:hAnsi="Times New Roman" w:eastAsia="Times New Roman"/>
                  <w:color w:val="0563C1"/>
                  <w:u w:val="single"/>
                  <w:sz w:val="17"/>
                  <w:szCs w:val="17"/>
                </w:rPr>
                <w:t>Available online</w:t>
              </w:r>
            </w:hyperlink>
          </w:p>
          <w:p>
            <w:pPr>
              <w:keepNext w:val="0"/>
              <w:keepLines/>
              <w:pageBreakBefore w:val="0"/>
              <w:widowControl w:val="0"/>
              <w:spacing w:before="0" w:after="40" w:line="240" w:lineRule="auto"/>
              <w:ind w:left="403" w:hanging="403"/>
            </w:pPr>
            <w:r>
              <w:rPr>
                <w:rFonts w:ascii="Times New Roman" w:hAnsi="Times New Roman" w:eastAsia="Times New Roman"/>
                <w:b/>
                <w:i w:val="0"/>
                <w:sz w:val="17"/>
                <w:u w:val="none"/>
              </w:rPr>
              <w:t xml:space="preserve">[3] </w:t>
            </w:r>
            <w:r>
              <w:rPr>
                <w:rFonts w:ascii="Times New Roman" w:hAnsi="Times New Roman" w:eastAsia="Times New Roman"/>
                <w:b w:val="0"/>
                <w:i w:val="0"/>
                <w:sz w:val="17"/>
                <w:u w:val="none"/>
              </w:rPr>
              <w:t xml:space="preserve">Electronic Code of Federal Regulations. 42 CFR 493.1283, Standard: Test records. </w:t>
            </w:r>
            <w:hyperlink r:id="rId9">
              <w:r>
                <w:rPr>
                  <w:rFonts w:ascii="Times New Roman" w:hAnsi="Times New Roman" w:eastAsia="Times New Roman"/>
                  <w:color w:val="0563C1"/>
                  <w:u w:val="single"/>
                  <w:sz w:val="17"/>
                  <w:szCs w:val="17"/>
                </w:rPr>
                <w:t>Available online</w:t>
              </w:r>
            </w:hyperlink>
          </w:p>
          <w:p>
            <w:pPr>
              <w:keepNext w:val="0"/>
              <w:keepLines/>
              <w:pageBreakBefore w:val="0"/>
              <w:widowControl w:val="0"/>
              <w:spacing w:before="0" w:after="40" w:line="240" w:lineRule="auto"/>
              <w:ind w:left="403" w:hanging="403"/>
            </w:pPr>
            <w:r>
              <w:rPr>
                <w:rFonts w:ascii="Times New Roman" w:hAnsi="Times New Roman" w:eastAsia="Times New Roman"/>
                <w:b/>
                <w:i w:val="0"/>
                <w:sz w:val="17"/>
                <w:u w:val="none"/>
              </w:rPr>
              <w:t xml:space="preserve">[4] </w:t>
            </w:r>
            <w:r>
              <w:rPr>
                <w:rFonts w:ascii="Times New Roman" w:hAnsi="Times New Roman" w:eastAsia="Times New Roman"/>
                <w:b w:val="0"/>
                <w:i w:val="0"/>
                <w:sz w:val="17"/>
                <w:u w:val="none"/>
              </w:rPr>
              <w:t xml:space="preserve">Health Level Seven International. HL7 v2+ OBX Observation/Result Segment: OBX-14 Date/Time of the Observation and OBX-19 Date/Time of the Analysis. </w:t>
            </w:r>
            <w:hyperlink r:id="rId19">
              <w:r>
                <w:rPr>
                  <w:rFonts w:ascii="Times New Roman" w:hAnsi="Times New Roman" w:eastAsia="Times New Roman"/>
                  <w:color w:val="0563C1"/>
                  <w:u w:val="single"/>
                  <w:sz w:val="17"/>
                  <w:szCs w:val="17"/>
                </w:rPr>
                <w:t>Available online</w:t>
              </w:r>
            </w:hyperlink>
          </w:p>
          <w:p>
            <w:pPr>
              <w:keepNext w:val="0"/>
              <w:keepLines/>
              <w:pageBreakBefore w:val="0"/>
              <w:widowControl w:val="0"/>
              <w:spacing w:before="0" w:after="40" w:line="240" w:lineRule="auto"/>
              <w:ind w:left="403" w:hanging="403"/>
            </w:pPr>
            <w:r>
              <w:rPr>
                <w:rFonts w:ascii="Times New Roman" w:hAnsi="Times New Roman" w:eastAsia="Times New Roman"/>
                <w:b/>
                <w:i w:val="0"/>
                <w:sz w:val="17"/>
                <w:u w:val="none"/>
              </w:rPr>
              <w:t xml:space="preserve">[5] </w:t>
            </w:r>
            <w:r>
              <w:rPr>
                <w:rFonts w:ascii="Times New Roman" w:hAnsi="Times New Roman" w:eastAsia="Times New Roman"/>
                <w:b w:val="0"/>
                <w:i w:val="0"/>
                <w:sz w:val="17"/>
                <w:u w:val="none"/>
              </w:rPr>
              <w:t xml:space="preserve">Health Level Seven International. US Core Implementation Guide v9.0.0, Laboratory Result Observation Profile definitions for Observation.effective[x] and Observation.issued. </w:t>
            </w:r>
            <w:hyperlink r:id="rId20">
              <w:r>
                <w:rPr>
                  <w:rFonts w:ascii="Times New Roman" w:hAnsi="Times New Roman" w:eastAsia="Times New Roman"/>
                  <w:color w:val="0563C1"/>
                  <w:u w:val="single"/>
                  <w:sz w:val="17"/>
                  <w:szCs w:val="17"/>
                </w:rPr>
                <w:t>Available online</w:t>
              </w:r>
            </w:hyperlink>
          </w:p>
          <w:p>
            <w:pPr>
              <w:keepNext w:val="0"/>
              <w:keepLines/>
              <w:pageBreakBefore w:val="0"/>
              <w:widowControl w:val="0"/>
              <w:spacing w:before="0" w:after="40" w:line="240" w:lineRule="auto"/>
              <w:ind w:left="403" w:hanging="403"/>
            </w:pPr>
            <w:r>
              <w:rPr>
                <w:rFonts w:ascii="Times New Roman" w:hAnsi="Times New Roman" w:eastAsia="Times New Roman"/>
                <w:b/>
                <w:i w:val="0"/>
                <w:sz w:val="17"/>
                <w:u w:val="none"/>
              </w:rPr>
              <w:t xml:space="preserve">[6] </w:t>
            </w:r>
            <w:r>
              <w:rPr>
                <w:rFonts w:ascii="Times New Roman" w:hAnsi="Times New Roman" w:eastAsia="Times New Roman"/>
                <w:b w:val="0"/>
                <w:i w:val="0"/>
                <w:sz w:val="17"/>
                <w:u w:val="none"/>
              </w:rPr>
              <w:t xml:space="preserve">Health Level Seven International. FHIR Core Extensions v5.3.0, Observation AnalysisDateTime extension. </w:t>
            </w:r>
            <w:hyperlink r:id="rId21">
              <w:r>
                <w:rPr>
                  <w:rFonts w:ascii="Times New Roman" w:hAnsi="Times New Roman" w:eastAsia="Times New Roman"/>
                  <w:color w:val="0563C1"/>
                  <w:u w:val="single"/>
                  <w:sz w:val="17"/>
                  <w:szCs w:val="17"/>
                </w:rPr>
                <w:t>Available online</w:t>
              </w:r>
            </w:hyperlink>
          </w:p>
          <w:p>
            <w:pPr>
              <w:keepNext w:val="0"/>
              <w:keepLines/>
              <w:pageBreakBefore w:val="0"/>
              <w:widowControl w:val="0"/>
              <w:spacing w:before="0" w:after="40" w:line="240" w:lineRule="auto"/>
              <w:ind w:left="403" w:hanging="403"/>
            </w:pPr>
            <w:r>
              <w:rPr>
                <w:rFonts w:ascii="Times New Roman" w:hAnsi="Times New Roman" w:eastAsia="Times New Roman"/>
                <w:b/>
                <w:i w:val="0"/>
                <w:sz w:val="17"/>
                <w:u w:val="none"/>
              </w:rPr>
              <w:t xml:space="preserve">[7] </w:t>
            </w:r>
            <w:r>
              <w:rPr>
                <w:rFonts w:ascii="Times New Roman" w:hAnsi="Times New Roman" w:eastAsia="Times New Roman"/>
                <w:b w:val="0"/>
                <w:i w:val="0"/>
                <w:sz w:val="17"/>
                <w:u w:val="none"/>
              </w:rPr>
              <w:t xml:space="preserve">Electronic Code of Federal Regulations. 45 CFR 170.205(g), electronic transmission of laboratory results to public health agencies. </w:t>
            </w:r>
            <w:hyperlink r:id="rId22">
              <w:r>
                <w:rPr>
                  <w:rFonts w:ascii="Times New Roman" w:hAnsi="Times New Roman" w:eastAsia="Times New Roman"/>
                  <w:color w:val="0563C1"/>
                  <w:u w:val="single"/>
                  <w:sz w:val="17"/>
                  <w:szCs w:val="17"/>
                </w:rPr>
                <w:t>Available online</w:t>
              </w:r>
            </w:hyperlink>
          </w:p>
          <w:p>
            <w:pPr>
              <w:keepNext w:val="0"/>
              <w:keepLines/>
              <w:pageBreakBefore w:val="0"/>
              <w:widowControl w:val="0"/>
              <w:spacing w:before="0" w:after="40" w:line="240" w:lineRule="auto"/>
              <w:ind w:left="403" w:hanging="403"/>
            </w:pPr>
            <w:r>
              <w:rPr>
                <w:rFonts w:ascii="Times New Roman" w:hAnsi="Times New Roman" w:eastAsia="Times New Roman"/>
                <w:b/>
                <w:i w:val="0"/>
                <w:sz w:val="17"/>
                <w:u w:val="none"/>
              </w:rPr>
              <w:t xml:space="preserve">[8] </w:t>
            </w:r>
            <w:r>
              <w:rPr>
                <w:rFonts w:ascii="Times New Roman" w:hAnsi="Times New Roman" w:eastAsia="Times New Roman"/>
                <w:b w:val="0"/>
                <w:i w:val="0"/>
                <w:sz w:val="17"/>
                <w:u w:val="none"/>
              </w:rPr>
              <w:t xml:space="preserve">ASTP/ONC Interoperability Standards Platform. Laboratory Test Performed Date stakeholder comment thread, including APHL and CSTE comments submitted April 2026. </w:t>
            </w:r>
            <w:hyperlink r:id="rId13">
              <w:r>
                <w:rPr>
                  <w:rFonts w:ascii="Times New Roman" w:hAnsi="Times New Roman" w:eastAsia="Times New Roman"/>
                  <w:color w:val="0563C1"/>
                  <w:u w:val="single"/>
                  <w:sz w:val="17"/>
                  <w:szCs w:val="17"/>
                </w:rPr>
                <w:t>Available online</w:t>
              </w:r>
            </w:hyperlink>
          </w:p>
          <w:p>
            <w:pPr>
              <w:keepNext w:val="0"/>
              <w:keepLines/>
              <w:pageBreakBefore w:val="0"/>
              <w:widowControl w:val="0"/>
              <w:spacing w:before="0" w:after="40" w:line="240" w:lineRule="auto"/>
              <w:ind w:left="403" w:hanging="403"/>
            </w:pPr>
            <w:r>
              <w:rPr>
                <w:rFonts w:ascii="Times New Roman" w:hAnsi="Times New Roman" w:eastAsia="Times New Roman"/>
                <w:b/>
                <w:i w:val="0"/>
                <w:sz w:val="17"/>
                <w:u w:val="none"/>
              </w:rPr>
              <w:t xml:space="preserve">[9] </w:t>
            </w:r>
            <w:r>
              <w:rPr>
                <w:rFonts w:ascii="Times New Roman" w:hAnsi="Times New Roman" w:eastAsia="Times New Roman"/>
                <w:b w:val="0"/>
                <w:i w:val="0"/>
                <w:sz w:val="17"/>
                <w:u w:val="none"/>
              </w:rPr>
              <w:t xml:space="preserve">ASTP/ONC Interoperability Standards Platform. Laboratory Test Performed Date stakeholder comment thread, including CDC consolidated, NAACCR, and NACCHO comments. </w:t>
            </w:r>
            <w:hyperlink r:id="rId14">
              <w:r>
                <w:rPr>
                  <w:rFonts w:ascii="Times New Roman" w:hAnsi="Times New Roman" w:eastAsia="Times New Roman"/>
                  <w:color w:val="0563C1"/>
                  <w:u w:val="single"/>
                  <w:sz w:val="17"/>
                  <w:szCs w:val="17"/>
                </w:rPr>
                <w:t>Available online</w:t>
              </w:r>
            </w:hyperlink>
          </w:p>
          <w:p>
            <w:pPr>
              <w:keepNext w:val="0"/>
              <w:keepLines/>
              <w:pageBreakBefore w:val="0"/>
              <w:widowControl w:val="0"/>
              <w:spacing w:before="0" w:after="40" w:line="240" w:lineRule="auto"/>
              <w:ind w:left="403" w:hanging="403"/>
            </w:pPr>
            <w:r>
              <w:rPr>
                <w:rFonts w:ascii="Times New Roman" w:hAnsi="Times New Roman" w:eastAsia="Times New Roman"/>
                <w:b/>
                <w:i w:val="0"/>
                <w:sz w:val="17"/>
                <w:u w:val="none"/>
              </w:rPr>
              <w:t xml:space="preserve">[10] </w:t>
            </w:r>
            <w:r>
              <w:rPr>
                <w:rFonts w:ascii="Times New Roman" w:hAnsi="Times New Roman" w:eastAsia="Times New Roman"/>
                <w:b w:val="0"/>
                <w:i w:val="0"/>
                <w:sz w:val="17"/>
                <w:u w:val="none"/>
              </w:rPr>
              <w:t xml:space="preserve">ASTP/ONC Interoperability Standards Platform. Laboratory stakeholder comment thread, including HL7 comments on analysis and release dates. </w:t>
            </w:r>
            <w:hyperlink r:id="rId15">
              <w:r>
                <w:rPr>
                  <w:rFonts w:ascii="Times New Roman" w:hAnsi="Times New Roman" w:eastAsia="Times New Roman"/>
                  <w:color w:val="0563C1"/>
                  <w:u w:val="single"/>
                  <w:sz w:val="17"/>
                  <w:szCs w:val="17"/>
                </w:rPr>
                <w:t>Available online</w:t>
              </w:r>
            </w:hyperlink>
          </w:p>
          <w:p>
            <w:pPr>
              <w:keepNext w:val="0"/>
              <w:keepLines/>
              <w:pageBreakBefore w:val="0"/>
              <w:widowControl w:val="0"/>
              <w:spacing w:before="0" w:after="40" w:line="240" w:lineRule="auto"/>
              <w:ind w:left="403" w:hanging="403"/>
            </w:pPr>
            <w:r>
              <w:rPr>
                <w:rFonts w:ascii="Times New Roman" w:hAnsi="Times New Roman" w:eastAsia="Times New Roman"/>
                <w:b/>
                <w:i w:val="0"/>
                <w:sz w:val="17"/>
                <w:u w:val="none"/>
              </w:rPr>
              <w:t xml:space="preserve">[11] </w:t>
            </w:r>
            <w:r>
              <w:rPr>
                <w:rFonts w:ascii="Times New Roman" w:hAnsi="Times New Roman" w:eastAsia="Times New Roman"/>
                <w:b w:val="0"/>
                <w:i w:val="0"/>
                <w:sz w:val="17"/>
                <w:u w:val="none"/>
              </w:rPr>
              <w:t xml:space="preserve">Centers for Disease Control and Prevention. Electronic Laboratory Reporting (ELR): timely data, LIMS capture, standardized message creation, and public-health exchange. Updated 2026. </w:t>
            </w:r>
            <w:hyperlink r:id="rId16">
              <w:r>
                <w:rPr>
                  <w:rFonts w:ascii="Times New Roman" w:hAnsi="Times New Roman" w:eastAsia="Times New Roman"/>
                  <w:color w:val="0563C1"/>
                  <w:u w:val="single"/>
                  <w:sz w:val="17"/>
                  <w:szCs w:val="17"/>
                </w:rPr>
                <w:t>Available online</w:t>
              </w:r>
            </w:hyperlink>
          </w:p>
          <w:p>
            <w:pPr>
              <w:keepNext w:val="0"/>
              <w:keepLines/>
              <w:pageBreakBefore w:val="0"/>
              <w:widowControl w:val="0"/>
              <w:spacing w:before="0" w:after="40" w:line="240" w:lineRule="auto"/>
              <w:ind w:left="403" w:hanging="403"/>
            </w:pPr>
            <w:r>
              <w:rPr>
                <w:rFonts w:ascii="Times New Roman" w:hAnsi="Times New Roman" w:eastAsia="Times New Roman"/>
                <w:b/>
                <w:i w:val="0"/>
                <w:sz w:val="17"/>
                <w:u w:val="none"/>
              </w:rPr>
              <w:t xml:space="preserve">[12] </w:t>
            </w:r>
            <w:r>
              <w:rPr>
                <w:rFonts w:ascii="Times New Roman" w:hAnsi="Times New Roman" w:eastAsia="Times New Roman"/>
                <w:b w:val="0"/>
                <w:i w:val="0"/>
                <w:sz w:val="17"/>
                <w:u w:val="none"/>
              </w:rPr>
              <w:t xml:space="preserve">Centers for Disease Control and Prevention. FoodCORE Salmonella, STEC, and Listeria Metrics: laboratory surveillance timeliness, completeness, and testing-process gaps. March 20, 2024. </w:t>
            </w:r>
            <w:hyperlink r:id="rId23">
              <w:r>
                <w:rPr>
                  <w:rFonts w:ascii="Times New Roman" w:hAnsi="Times New Roman" w:eastAsia="Times New Roman"/>
                  <w:color w:val="0563C1"/>
                  <w:u w:val="single"/>
                  <w:sz w:val="17"/>
                  <w:szCs w:val="17"/>
                </w:rPr>
                <w:t>Available online</w:t>
              </w:r>
            </w:hyperlink>
          </w:p>
          <w:p>
            <w:pPr>
              <w:keepNext w:val="0"/>
              <w:keepLines/>
              <w:pageBreakBefore w:val="0"/>
              <w:widowControl w:val="0"/>
              <w:spacing w:before="0" w:after="40" w:line="240" w:lineRule="auto"/>
              <w:ind w:left="403" w:hanging="403"/>
            </w:pPr>
            <w:r>
              <w:rPr>
                <w:rFonts w:ascii="Times New Roman" w:hAnsi="Times New Roman" w:eastAsia="Times New Roman"/>
                <w:b/>
                <w:i w:val="0"/>
                <w:sz w:val="17"/>
                <w:u w:val="none"/>
              </w:rPr>
              <w:t xml:space="preserve">[13] </w:t>
            </w:r>
            <w:r>
              <w:rPr>
                <w:rFonts w:ascii="Times New Roman" w:hAnsi="Times New Roman" w:eastAsia="Times New Roman"/>
                <w:b w:val="0"/>
                <w:i w:val="0"/>
                <w:sz w:val="17"/>
                <w:u w:val="none"/>
              </w:rPr>
              <w:t xml:space="preserve">Hawkins RC. Laboratory turnaround time. Clinical Biochemist Reviews. 2007;28(4):179-194. PMID: 18392122; PMCID: PMC2282400. </w:t>
            </w:r>
            <w:hyperlink r:id="rId24">
              <w:r>
                <w:rPr>
                  <w:rFonts w:ascii="Times New Roman" w:hAnsi="Times New Roman" w:eastAsia="Times New Roman"/>
                  <w:color w:val="0563C1"/>
                  <w:u w:val="single"/>
                  <w:sz w:val="17"/>
                  <w:szCs w:val="17"/>
                </w:rPr>
                <w:t>Available online</w:t>
              </w:r>
            </w:hyperlink>
          </w:p>
          <w:p>
            <w:pPr>
              <w:keepNext w:val="0"/>
              <w:keepLines/>
              <w:pageBreakBefore w:val="0"/>
              <w:widowControl w:val="0"/>
              <w:spacing w:before="0" w:after="40" w:line="240" w:lineRule="auto"/>
              <w:ind w:left="403" w:hanging="403"/>
            </w:pPr>
            <w:r>
              <w:rPr>
                <w:rFonts w:ascii="Times New Roman" w:hAnsi="Times New Roman" w:eastAsia="Times New Roman"/>
                <w:b/>
                <w:i w:val="0"/>
                <w:sz w:val="17"/>
                <w:u w:val="none"/>
              </w:rPr>
              <w:t xml:space="preserve">[14] </w:t>
            </w:r>
            <w:r>
              <w:rPr>
                <w:rFonts w:ascii="Times New Roman" w:hAnsi="Times New Roman" w:eastAsia="Times New Roman"/>
                <w:b w:val="0"/>
                <w:i w:val="0"/>
                <w:sz w:val="17"/>
                <w:u w:val="none"/>
              </w:rPr>
              <w:t xml:space="preserve">Vrijsen BEL, Haitjema S, Westerink J, et al. Shorter laboratory turnaround time is associated with shorter emergency department length of stay: a retrospective cohort study. BMC Emergency Medicine. 2022;22:207. doi:10.1186/s12873-022-00763-w. </w:t>
            </w:r>
            <w:hyperlink r:id="rId25">
              <w:r>
                <w:rPr>
                  <w:rFonts w:ascii="Times New Roman" w:hAnsi="Times New Roman" w:eastAsia="Times New Roman"/>
                  <w:color w:val="0563C1"/>
                  <w:u w:val="single"/>
                  <w:sz w:val="17"/>
                  <w:szCs w:val="17"/>
                </w:rPr>
                <w:t>Available online</w:t>
              </w:r>
            </w:hyperlink>
          </w:p>
          <w:p>
            <w:pPr>
              <w:keepNext w:val="0"/>
              <w:keepLines/>
              <w:pageBreakBefore w:val="0"/>
              <w:widowControl w:val="0"/>
              <w:spacing w:before="0" w:after="40" w:line="240" w:lineRule="auto"/>
              <w:ind w:left="403" w:hanging="403"/>
            </w:pPr>
            <w:r>
              <w:rPr>
                <w:rFonts w:ascii="Times New Roman" w:hAnsi="Times New Roman" w:eastAsia="Times New Roman"/>
                <w:b/>
                <w:i w:val="0"/>
                <w:sz w:val="17"/>
                <w:u w:val="none"/>
              </w:rPr>
              <w:t xml:space="preserve">[15] </w:t>
            </w:r>
            <w:r>
              <w:rPr>
                <w:rFonts w:ascii="Times New Roman" w:hAnsi="Times New Roman" w:eastAsia="Times New Roman"/>
                <w:b w:val="0"/>
                <w:i w:val="0"/>
                <w:sz w:val="17"/>
                <w:u w:val="none"/>
              </w:rPr>
              <w:t xml:space="preserve">Kaushik N, Khangulov VS, O'Hara M, Arnaout R. Reduction in laboratory turnaround time decreases emergency room length of stay. Open Access Emergency Medicine. 2018;10:37-45. doi:10.2147/OAEM.S155988. PMID: 29719423; PMCID: PMC5916382. </w:t>
            </w:r>
            <w:hyperlink r:id="rId26">
              <w:r>
                <w:rPr>
                  <w:rFonts w:ascii="Times New Roman" w:hAnsi="Times New Roman" w:eastAsia="Times New Roman"/>
                  <w:color w:val="0563C1"/>
                  <w:u w:val="single"/>
                  <w:sz w:val="17"/>
                  <w:szCs w:val="17"/>
                </w:rPr>
                <w:t>Available online</w:t>
              </w:r>
            </w:hyperlink>
          </w:p>
          <w:p>
            <w:pPr>
              <w:keepNext w:val="0"/>
              <w:keepLines/>
              <w:pageBreakBefore w:val="0"/>
              <w:widowControl w:val="0"/>
              <w:spacing w:before="0" w:after="40" w:line="240" w:lineRule="auto"/>
              <w:ind w:left="403" w:hanging="403"/>
            </w:pPr>
            <w:r>
              <w:rPr>
                <w:rFonts w:ascii="Times New Roman" w:hAnsi="Times New Roman" w:eastAsia="Times New Roman"/>
                <w:b/>
                <w:i w:val="0"/>
                <w:sz w:val="17"/>
                <w:u w:val="none"/>
              </w:rPr>
              <w:t xml:space="preserve">[16] </w:t>
            </w:r>
            <w:r>
              <w:rPr>
                <w:rFonts w:ascii="Times New Roman" w:hAnsi="Times New Roman" w:eastAsia="Times New Roman"/>
                <w:b w:val="0"/>
                <w:i w:val="0"/>
                <w:sz w:val="17"/>
                <w:u w:val="none"/>
              </w:rPr>
              <w:t xml:space="preserve">Schwetz I, Hinrichs G, Reisinger EC, et al. Delayed processing of blood samples influences time to positivity of blood cultures and results of Gram stain-acridine orange leukocyte Cytospin test. Journal of Clinical Microbiology. 2007;45(8):2691-2694. doi:10.1128/JCM.00085-07. PMID: 17537945; PMCID: PMC1951239. </w:t>
            </w:r>
            <w:hyperlink r:id="rId27">
              <w:r>
                <w:rPr>
                  <w:rFonts w:ascii="Times New Roman" w:hAnsi="Times New Roman" w:eastAsia="Times New Roman"/>
                  <w:color w:val="0563C1"/>
                  <w:u w:val="single"/>
                  <w:sz w:val="17"/>
                  <w:szCs w:val="17"/>
                </w:rPr>
                <w:t>Available online</w:t>
              </w:r>
            </w:hyperlink>
          </w:p>
          <w:p>
            <w:pPr>
              <w:keepNext w:val="0"/>
              <w:keepLines/>
              <w:pageBreakBefore w:val="0"/>
              <w:widowControl w:val="0"/>
              <w:spacing w:before="0" w:after="40" w:line="240" w:lineRule="auto"/>
              <w:ind w:left="403" w:hanging="403"/>
            </w:pPr>
            <w:r>
              <w:rPr>
                <w:rFonts w:ascii="Times New Roman" w:hAnsi="Times New Roman" w:eastAsia="Times New Roman"/>
                <w:b/>
                <w:i w:val="0"/>
                <w:sz w:val="17"/>
                <w:u w:val="none"/>
              </w:rPr>
              <w:t xml:space="preserve">[17] </w:t>
            </w:r>
            <w:r>
              <w:rPr>
                <w:rFonts w:ascii="Times New Roman" w:hAnsi="Times New Roman" w:eastAsia="Times New Roman"/>
                <w:b w:val="0"/>
                <w:i w:val="0"/>
                <w:sz w:val="17"/>
                <w:u w:val="none"/>
              </w:rPr>
              <w:t xml:space="preserve">Zavorsky GS, et al. Stability of Whole Blood Lactate Specimens at Room Temperature Versus Slushed Ice Conditions. Respiratory Care. 2021;66(3):494-500. doi:10.4187/respcare.08023. PMID: 32873752. </w:t>
            </w:r>
            <w:hyperlink r:id="rId28">
              <w:r>
                <w:rPr>
                  <w:rFonts w:ascii="Times New Roman" w:hAnsi="Times New Roman" w:eastAsia="Times New Roman"/>
                  <w:color w:val="0563C1"/>
                  <w:u w:val="single"/>
                  <w:sz w:val="17"/>
                  <w:szCs w:val="17"/>
                </w:rPr>
                <w:t>Available online</w:t>
              </w:r>
            </w:hyperlink>
          </w:p>
          <w:p>
            <w:pPr>
              <w:keepNext w:val="0"/>
              <w:keepLines/>
              <w:pageBreakBefore w:val="0"/>
              <w:widowControl w:val="0"/>
              <w:spacing w:before="0" w:after="40" w:line="240" w:lineRule="auto"/>
              <w:ind w:left="403" w:hanging="403"/>
            </w:pPr>
            <w:r>
              <w:rPr>
                <w:rFonts w:ascii="Times New Roman" w:hAnsi="Times New Roman" w:eastAsia="Times New Roman"/>
                <w:b/>
                <w:i w:val="0"/>
                <w:sz w:val="17"/>
                <w:u w:val="none"/>
              </w:rPr>
              <w:t xml:space="preserve">[18] </w:t>
            </w:r>
            <w:r>
              <w:rPr>
                <w:rFonts w:ascii="Times New Roman" w:hAnsi="Times New Roman" w:eastAsia="Times New Roman"/>
                <w:b w:val="0"/>
                <w:i w:val="0"/>
                <w:sz w:val="17"/>
                <w:u w:val="none"/>
              </w:rPr>
              <w:t xml:space="preserve">Pardo J, Klinker KP, Borgert SJ, et al. Time to positivity of blood cultures supports antibiotic de-escalation at 48 hours. Annals of Pharmacotherapy. 2014;48(1):33-40. doi:10.1177/1060028013511229. PMID: 24259644. </w:t>
            </w:r>
            <w:hyperlink r:id="rId29">
              <w:r>
                <w:rPr>
                  <w:rFonts w:ascii="Times New Roman" w:hAnsi="Times New Roman" w:eastAsia="Times New Roman"/>
                  <w:color w:val="0563C1"/>
                  <w:u w:val="single"/>
                  <w:sz w:val="17"/>
                  <w:szCs w:val="17"/>
                </w:rPr>
                <w:t>Available online</w:t>
              </w:r>
            </w:hyperlink>
          </w:p>
          <w:p>
            <w:pPr>
              <w:keepNext w:val="0"/>
              <w:keepLines/>
              <w:pageBreakBefore w:val="0"/>
              <w:widowControl w:val="0"/>
              <w:spacing w:before="0" w:after="40" w:line="240" w:lineRule="auto"/>
              <w:ind w:left="403" w:hanging="403"/>
            </w:pPr>
            <w:r>
              <w:rPr>
                <w:rFonts w:ascii="Times New Roman" w:hAnsi="Times New Roman" w:eastAsia="Times New Roman"/>
                <w:b/>
                <w:i w:val="0"/>
                <w:sz w:val="17"/>
                <w:u w:val="none"/>
              </w:rPr>
              <w:t xml:space="preserve">[19] </w:t>
            </w:r>
            <w:r>
              <w:rPr>
                <w:rFonts w:ascii="Times New Roman" w:hAnsi="Times New Roman" w:eastAsia="Times New Roman"/>
                <w:b w:val="0"/>
                <w:i w:val="0"/>
                <w:sz w:val="17"/>
                <w:u w:val="none"/>
              </w:rPr>
              <w:t xml:space="preserve">Oracle Health. FHIR R4 APIs for Oracle Health Millennium Platform: Observation REST Endpoints; effective date/time, issued date/time, and extensions. Accessed September 2026. </w:t>
            </w:r>
            <w:hyperlink r:id="rId30">
              <w:r>
                <w:rPr>
                  <w:rFonts w:ascii="Times New Roman" w:hAnsi="Times New Roman" w:eastAsia="Times New Roman"/>
                  <w:color w:val="0563C1"/>
                  <w:u w:val="single"/>
                  <w:sz w:val="17"/>
                  <w:szCs w:val="17"/>
                </w:rPr>
                <w:t>Available online</w:t>
              </w:r>
            </w:hyperlink>
          </w:p>
          <w:p>
            <w:pPr>
              <w:keepNext w:val="0"/>
              <w:keepLines/>
              <w:pageBreakBefore w:val="0"/>
              <w:widowControl w:val="0"/>
              <w:spacing w:before="0" w:after="40" w:line="240" w:lineRule="auto"/>
              <w:ind w:left="403" w:hanging="403"/>
            </w:pPr>
            <w:r>
              <w:rPr>
                <w:rFonts w:ascii="Times New Roman" w:hAnsi="Times New Roman" w:eastAsia="Times New Roman"/>
                <w:b/>
                <w:i w:val="0"/>
                <w:sz w:val="17"/>
                <w:u w:val="none"/>
              </w:rPr>
              <w:t xml:space="preserve">[20] </w:t>
            </w:r>
            <w:r>
              <w:rPr>
                <w:rFonts w:ascii="Times New Roman" w:hAnsi="Times New Roman" w:eastAsia="Times New Roman"/>
                <w:b w:val="0"/>
                <w:i w:val="0"/>
                <w:sz w:val="17"/>
                <w:u w:val="none"/>
              </w:rPr>
              <w:t xml:space="preserve">Veradigm. Laboratory Result Observations: effectiveDateTime and issued semantics in the FHIR API. Accessed September 2026. </w:t>
            </w:r>
            <w:hyperlink r:id="rId31">
              <w:r>
                <w:rPr>
                  <w:rFonts w:ascii="Times New Roman" w:hAnsi="Times New Roman" w:eastAsia="Times New Roman"/>
                  <w:color w:val="0563C1"/>
                  <w:u w:val="single"/>
                  <w:sz w:val="17"/>
                  <w:szCs w:val="17"/>
                </w:rPr>
                <w:t>Available online</w:t>
              </w:r>
            </w:hyperlink>
          </w:p>
          <w:p>
            <w:pPr>
              <w:keepNext w:val="0"/>
              <w:keepLines/>
              <w:pageBreakBefore w:val="0"/>
              <w:widowControl w:val="0"/>
              <w:spacing w:before="0" w:after="40" w:line="240" w:lineRule="auto"/>
              <w:ind w:left="403" w:hanging="403"/>
            </w:pPr>
            <w:r>
              <w:rPr>
                <w:rFonts w:ascii="Times New Roman" w:hAnsi="Times New Roman" w:eastAsia="Times New Roman"/>
                <w:b/>
                <w:i w:val="0"/>
                <w:sz w:val="17"/>
                <w:u w:val="none"/>
              </w:rPr>
              <w:t xml:space="preserve">[21] </w:t>
            </w:r>
            <w:r>
              <w:rPr>
                <w:rFonts w:ascii="Times New Roman" w:hAnsi="Times New Roman" w:eastAsia="Times New Roman"/>
                <w:b w:val="0"/>
                <w:i w:val="0"/>
                <w:sz w:val="17"/>
                <w:u w:val="none"/>
              </w:rPr>
              <w:t xml:space="preserve">Health Level Seven International. HL7 FHIR v2-to-FHIR AnalysisDateTime extension corresponding to OBX-19. </w:t>
            </w:r>
            <w:hyperlink r:id="rId32">
              <w:r>
                <w:rPr>
                  <w:rFonts w:ascii="Times New Roman" w:hAnsi="Times New Roman" w:eastAsia="Times New Roman"/>
                  <w:color w:val="0563C1"/>
                  <w:u w:val="single"/>
                  <w:sz w:val="17"/>
                  <w:szCs w:val="17"/>
                </w:rPr>
                <w:t>Available online</w:t>
              </w:r>
            </w:hyperlink>
          </w:p>
          <w:p>
            <w:pPr>
              <w:keepNext w:val="0"/>
              <w:keepLines/>
              <w:pageBreakBefore w:val="0"/>
              <w:widowControl w:val="0"/>
              <w:spacing w:before="0" w:after="40" w:line="240" w:lineRule="auto"/>
              <w:ind w:left="403" w:hanging="403"/>
            </w:pPr>
            <w:r>
              <w:rPr>
                <w:rFonts w:ascii="Times New Roman" w:hAnsi="Times New Roman" w:eastAsia="Times New Roman"/>
                <w:b/>
                <w:i w:val="0"/>
                <w:sz w:val="17"/>
                <w:u w:val="none"/>
              </w:rPr>
              <w:t xml:space="preserve">[22] </w:t>
            </w:r>
            <w:r>
              <w:rPr>
                <w:rFonts w:ascii="Times New Roman" w:hAnsi="Times New Roman" w:eastAsia="Times New Roman"/>
                <w:b w:val="0"/>
                <w:i w:val="0"/>
                <w:sz w:val="17"/>
                <w:u w:val="none"/>
              </w:rPr>
              <w:t xml:space="preserve">Health Level Seven International. HL7 Version 2.5.1 Implementation Guide: Laboratory Results Interface, Release 1, product brief. </w:t>
            </w:r>
            <w:hyperlink r:id="rId6">
              <w:r>
                <w:rPr>
                  <w:rFonts w:ascii="Times New Roman" w:hAnsi="Times New Roman" w:eastAsia="Times New Roman"/>
                  <w:color w:val="0563C1"/>
                  <w:u w:val="single"/>
                  <w:sz w:val="17"/>
                  <w:szCs w:val="17"/>
                </w:rPr>
                <w:t>Available online</w:t>
              </w:r>
            </w:hyperlink>
          </w:p>
          <w:p>
            <w:pPr>
              <w:keepNext w:val="0"/>
              <w:keepLines/>
              <w:pageBreakBefore w:val="0"/>
              <w:widowControl w:val="0"/>
              <w:spacing w:before="0" w:after="40" w:line="240" w:lineRule="auto"/>
              <w:ind w:left="403" w:hanging="403"/>
            </w:pPr>
            <w:r>
              <w:rPr>
                <w:rFonts w:ascii="Times New Roman" w:hAnsi="Times New Roman" w:eastAsia="Times New Roman"/>
                <w:b/>
                <w:i w:val="0"/>
                <w:sz w:val="17"/>
                <w:u w:val="none"/>
              </w:rPr>
              <w:t xml:space="preserve">[23] </w:t>
            </w:r>
            <w:r>
              <w:rPr>
                <w:rFonts w:ascii="Times New Roman" w:hAnsi="Times New Roman" w:eastAsia="Times New Roman"/>
                <w:b w:val="0"/>
                <w:i w:val="0"/>
                <w:sz w:val="17"/>
                <w:u w:val="none"/>
              </w:rPr>
              <w:t xml:space="preserve">Health Level Seven International. HL7 Version 2.5.1 Implementation Guide: Electronic Laboratory Reporting to Public Health, Release 1, product brief. </w:t>
            </w:r>
            <w:hyperlink r:id="rId8">
              <w:r>
                <w:rPr>
                  <w:rFonts w:ascii="Times New Roman" w:hAnsi="Times New Roman" w:eastAsia="Times New Roman"/>
                  <w:color w:val="0563C1"/>
                  <w:u w:val="single"/>
                  <w:sz w:val="17"/>
                  <w:szCs w:val="17"/>
                </w:rPr>
                <w:t>Available online</w:t>
              </w:r>
            </w:hyperlink>
          </w:p>
          <w:p>
            <w:pPr>
              <w:keepNext w:val="0"/>
              <w:keepLines/>
              <w:pageBreakBefore w:val="0"/>
              <w:widowControl w:val="0"/>
              <w:spacing w:before="0" w:after="40" w:line="240" w:lineRule="auto"/>
              <w:ind w:left="403" w:hanging="403"/>
            </w:pPr>
            <w:r>
              <w:rPr>
                <w:rFonts w:ascii="Times New Roman" w:hAnsi="Times New Roman" w:eastAsia="Times New Roman"/>
                <w:b/>
                <w:i w:val="0"/>
                <w:sz w:val="17"/>
                <w:u w:val="none"/>
              </w:rPr>
              <w:t xml:space="preserve">[24] </w:t>
            </w:r>
            <w:r>
              <w:rPr>
                <w:rFonts w:ascii="Times New Roman" w:hAnsi="Times New Roman" w:eastAsia="Times New Roman"/>
                <w:b w:val="0"/>
                <w:i w:val="0"/>
                <w:sz w:val="17"/>
                <w:u w:val="none"/>
              </w:rPr>
              <w:t xml:space="preserve">North American Association of Central Cancer Registries. Pathology Laboratory Electronic Reporting resources. </w:t>
            </w:r>
            <w:hyperlink r:id="rId7">
              <w:r>
                <w:rPr>
                  <w:rFonts w:ascii="Times New Roman" w:hAnsi="Times New Roman" w:eastAsia="Times New Roman"/>
                  <w:color w:val="0563C1"/>
                  <w:u w:val="single"/>
                  <w:sz w:val="17"/>
                  <w:szCs w:val="17"/>
                </w:rPr>
                <w:t>Available online</w:t>
              </w:r>
            </w:hyperlink>
          </w:p>
        </w:tc>
      </w:tr>
    </w:tbl>
    <w:p w14:paraId="3AF455D8" w14:textId="77777777" w:rsidR="00D4016E" w:rsidRDefault="00D4016E">
      <w:pPr>
        <w:keepNext w:val="0"/>
        <w:keepLines w:val="0"/>
        <w:pageBreakBefore w:val="0"/>
        <w:widowControl w:val="0"/>
        <w:spacing w:before="0" w:after="0" w:line="240" w:lineRule="auto"/>
      </w:pPr>
    </w:p>
    <w:sectPr w:rsidR="00D4016E" w:rsidSect="00D4016E">
      <w:footerReference w:type="default" r:id="rId12"/>
      <w:pgSz w:w="15840" w:h="12240" w:orient="landscape"/>
      <w:pgMar w:top="1080" w:right="1440" w:bottom="108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keepNext w:val="0"/>
      <w:keepLines w:val="0"/>
      <w:pageBreakBefore w:val="0"/>
      <w:widowControl w:val="0"/>
      <w:spacing w:before="0" w:after="0" w:line="240" w:lineRule="auto"/>
      <w:jc w:val="center"/>
    </w:pPr>
    <w:r>
      <w:rPr>
        <w:rFonts w:ascii="Times New Roman" w:hAnsi="Times New Roman" w:eastAsia="Times New Roman"/>
        <w:b w:val="0"/>
        <w:i/>
        <w:color w:val="666666"/>
        <w:sz w:val="16"/>
        <w:u w:val="none"/>
      </w:rPr>
      <w:t>Laboratory Test Performed Date - Expanded USCDI Justification</w:t>
    </w:r>
  </w:p>
</w:ft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6F0099"/>
    <w:multiLevelType w:val="hybridMultilevel"/>
    <w:tmpl w:val="CF86DC3E"/>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1E0A1691"/>
    <w:multiLevelType w:val="hybridMultilevel"/>
    <w:tmpl w:val="DFD8270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56F36BD5"/>
    <w:multiLevelType w:val="multilevel"/>
    <w:tmpl w:val="3CFE64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700961D5"/>
    <w:multiLevelType w:val="hybridMultilevel"/>
    <w:tmpl w:val="CF86DC3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752965089">
    <w:abstractNumId w:val="2"/>
  </w:num>
  <w:num w:numId="2" w16cid:durableId="1831864956">
    <w:abstractNumId w:val="1"/>
  </w:num>
  <w:num w:numId="3" w16cid:durableId="584648688">
    <w:abstractNumId w:val="3"/>
  </w:num>
  <w:num w:numId="4" w16cid:durableId="50502073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4016E"/>
    <w:rsid w:val="00031211"/>
    <w:rsid w:val="00036B06"/>
    <w:rsid w:val="000738A8"/>
    <w:rsid w:val="00092187"/>
    <w:rsid w:val="000D613D"/>
    <w:rsid w:val="000D651C"/>
    <w:rsid w:val="000F747D"/>
    <w:rsid w:val="00136350"/>
    <w:rsid w:val="00151172"/>
    <w:rsid w:val="001A6F9A"/>
    <w:rsid w:val="001C7CC3"/>
    <w:rsid w:val="001D2B0B"/>
    <w:rsid w:val="00204F60"/>
    <w:rsid w:val="00241BFC"/>
    <w:rsid w:val="00255D5F"/>
    <w:rsid w:val="002831DB"/>
    <w:rsid w:val="002A3A00"/>
    <w:rsid w:val="002B3324"/>
    <w:rsid w:val="002D0E93"/>
    <w:rsid w:val="00307D18"/>
    <w:rsid w:val="003120FA"/>
    <w:rsid w:val="00315BDC"/>
    <w:rsid w:val="00333BF4"/>
    <w:rsid w:val="0037705D"/>
    <w:rsid w:val="00393D66"/>
    <w:rsid w:val="003A062C"/>
    <w:rsid w:val="003C65D8"/>
    <w:rsid w:val="003D0F0C"/>
    <w:rsid w:val="00405A4A"/>
    <w:rsid w:val="004424DE"/>
    <w:rsid w:val="00445108"/>
    <w:rsid w:val="004471F3"/>
    <w:rsid w:val="00452C4E"/>
    <w:rsid w:val="00462F2F"/>
    <w:rsid w:val="004B0C02"/>
    <w:rsid w:val="005060D8"/>
    <w:rsid w:val="005315E1"/>
    <w:rsid w:val="00552C98"/>
    <w:rsid w:val="0055466E"/>
    <w:rsid w:val="00591599"/>
    <w:rsid w:val="005A1324"/>
    <w:rsid w:val="005A6A6C"/>
    <w:rsid w:val="005A6FF2"/>
    <w:rsid w:val="005B4565"/>
    <w:rsid w:val="005E4E05"/>
    <w:rsid w:val="005E74BB"/>
    <w:rsid w:val="006531E1"/>
    <w:rsid w:val="006628D9"/>
    <w:rsid w:val="006827DC"/>
    <w:rsid w:val="006A5A37"/>
    <w:rsid w:val="006B1D38"/>
    <w:rsid w:val="006F3856"/>
    <w:rsid w:val="00707AAB"/>
    <w:rsid w:val="0071682A"/>
    <w:rsid w:val="0072683B"/>
    <w:rsid w:val="00767709"/>
    <w:rsid w:val="00780AF4"/>
    <w:rsid w:val="00783E26"/>
    <w:rsid w:val="00790623"/>
    <w:rsid w:val="00793C0F"/>
    <w:rsid w:val="007C5D34"/>
    <w:rsid w:val="007D342E"/>
    <w:rsid w:val="007D68AF"/>
    <w:rsid w:val="00847CCD"/>
    <w:rsid w:val="00860030"/>
    <w:rsid w:val="00891E07"/>
    <w:rsid w:val="00896A86"/>
    <w:rsid w:val="009A2254"/>
    <w:rsid w:val="009B14C3"/>
    <w:rsid w:val="009C26EE"/>
    <w:rsid w:val="009C6E84"/>
    <w:rsid w:val="00A07F2B"/>
    <w:rsid w:val="00A172B6"/>
    <w:rsid w:val="00A30CA5"/>
    <w:rsid w:val="00A407C9"/>
    <w:rsid w:val="00A66C72"/>
    <w:rsid w:val="00A957A1"/>
    <w:rsid w:val="00A9792C"/>
    <w:rsid w:val="00AA3A61"/>
    <w:rsid w:val="00AD38FE"/>
    <w:rsid w:val="00AD444F"/>
    <w:rsid w:val="00AD7227"/>
    <w:rsid w:val="00AF46B4"/>
    <w:rsid w:val="00AF7A4D"/>
    <w:rsid w:val="00B47A80"/>
    <w:rsid w:val="00B55FD0"/>
    <w:rsid w:val="00B645B9"/>
    <w:rsid w:val="00B70D4E"/>
    <w:rsid w:val="00B72255"/>
    <w:rsid w:val="00BF06EC"/>
    <w:rsid w:val="00CA1554"/>
    <w:rsid w:val="00CA158E"/>
    <w:rsid w:val="00CE6A31"/>
    <w:rsid w:val="00D4016E"/>
    <w:rsid w:val="00D545BB"/>
    <w:rsid w:val="00D648C9"/>
    <w:rsid w:val="00D653D9"/>
    <w:rsid w:val="00DC4C54"/>
    <w:rsid w:val="00DE042C"/>
    <w:rsid w:val="00ED1745"/>
    <w:rsid w:val="00EE5969"/>
    <w:rsid w:val="00F07561"/>
    <w:rsid w:val="00F11A8D"/>
    <w:rsid w:val="00F1668E"/>
    <w:rsid w:val="00F53D14"/>
    <w:rsid w:val="00F7266A"/>
    <w:rsid w:val="00FA111B"/>
    <w:rsid w:val="00FC1D89"/>
    <w:rsid w:val="00FC4F19"/>
    <w:rsid w:val="00FE1C7F"/>
    <w:rsid w:val="00FE452F"/>
    <w:rsid w:val="10D0F7DE"/>
    <w:rsid w:val="4538474B"/>
    <w:rsid w:val="5BA7F94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9B7564"/>
  <w15:chartTrackingRefBased/>
  <w15:docId w15:val="{375384A1-4A80-4225-88FE-960ECF49C8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eastAsia="Times New Roman"/>
      <w:sz w:val="19"/>
    </w:rPr>
  </w:style>
  <w:style w:type="paragraph" w:styleId="Heading1">
    <w:name w:val="heading 1"/>
    <w:basedOn w:val="Normal"/>
    <w:next w:val="Normal"/>
    <w:link w:val="Heading1Char"/>
    <w:uiPriority w:val="9"/>
    <w:qFormat/>
    <w:rsid w:val="00D4016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4016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4016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4016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4016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4016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4016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4016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4016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4016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4016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4016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4016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4016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4016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4016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4016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4016E"/>
    <w:rPr>
      <w:rFonts w:eastAsiaTheme="majorEastAsia" w:cstheme="majorBidi"/>
      <w:color w:val="272727" w:themeColor="text1" w:themeTint="D8"/>
    </w:rPr>
  </w:style>
  <w:style w:type="paragraph" w:styleId="Title">
    <w:name w:val="Title"/>
    <w:basedOn w:val="Normal"/>
    <w:next w:val="Normal"/>
    <w:link w:val="TitleChar"/>
    <w:uiPriority w:val="10"/>
    <w:qFormat/>
    <w:rsid w:val="00D4016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4016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4016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4016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4016E"/>
    <w:pPr>
      <w:spacing w:before="160"/>
      <w:jc w:val="center"/>
    </w:pPr>
    <w:rPr>
      <w:i/>
      <w:iCs/>
      <w:color w:val="404040" w:themeColor="text1" w:themeTint="BF"/>
    </w:rPr>
  </w:style>
  <w:style w:type="character" w:customStyle="1" w:styleId="QuoteChar">
    <w:name w:val="Quote Char"/>
    <w:basedOn w:val="DefaultParagraphFont"/>
    <w:link w:val="Quote"/>
    <w:uiPriority w:val="29"/>
    <w:rsid w:val="00D4016E"/>
    <w:rPr>
      <w:i/>
      <w:iCs/>
      <w:color w:val="404040" w:themeColor="text1" w:themeTint="BF"/>
    </w:rPr>
  </w:style>
  <w:style w:type="paragraph" w:styleId="ListParagraph">
    <w:name w:val="List Paragraph"/>
    <w:basedOn w:val="Normal"/>
    <w:link w:val="ListParagraphChar"/>
    <w:uiPriority w:val="34"/>
    <w:qFormat/>
    <w:rsid w:val="00D4016E"/>
    <w:pPr>
      <w:ind w:left="720"/>
      <w:contextualSpacing/>
    </w:pPr>
  </w:style>
  <w:style w:type="character" w:styleId="IntenseEmphasis">
    <w:name w:val="Intense Emphasis"/>
    <w:basedOn w:val="DefaultParagraphFont"/>
    <w:uiPriority w:val="21"/>
    <w:qFormat/>
    <w:rsid w:val="00D4016E"/>
    <w:rPr>
      <w:i/>
      <w:iCs/>
      <w:color w:val="0F4761" w:themeColor="accent1" w:themeShade="BF"/>
    </w:rPr>
  </w:style>
  <w:style w:type="paragraph" w:styleId="IntenseQuote">
    <w:name w:val="Intense Quote"/>
    <w:basedOn w:val="Normal"/>
    <w:next w:val="Normal"/>
    <w:link w:val="IntenseQuoteChar"/>
    <w:uiPriority w:val="30"/>
    <w:qFormat/>
    <w:rsid w:val="00D4016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4016E"/>
    <w:rPr>
      <w:i/>
      <w:iCs/>
      <w:color w:val="0F4761" w:themeColor="accent1" w:themeShade="BF"/>
    </w:rPr>
  </w:style>
  <w:style w:type="character" w:styleId="IntenseReference">
    <w:name w:val="Intense Reference"/>
    <w:basedOn w:val="DefaultParagraphFont"/>
    <w:uiPriority w:val="32"/>
    <w:qFormat/>
    <w:rsid w:val="00D4016E"/>
    <w:rPr>
      <w:b/>
      <w:bCs/>
      <w:smallCaps/>
      <w:color w:val="0F4761" w:themeColor="accent1" w:themeShade="BF"/>
      <w:spacing w:val="5"/>
    </w:rPr>
  </w:style>
  <w:style w:type="character" w:styleId="Hyperlink">
    <w:name w:val="Hyperlink"/>
    <w:basedOn w:val="DefaultParagraphFont"/>
    <w:uiPriority w:val="99"/>
    <w:unhideWhenUsed/>
    <w:rsid w:val="00D4016E"/>
    <w:rPr>
      <w:color w:val="467886" w:themeColor="hyperlink"/>
      <w:u w:val="single"/>
    </w:rPr>
  </w:style>
  <w:style w:type="character" w:styleId="UnresolvedMention">
    <w:name w:val="Unresolved Mention"/>
    <w:basedOn w:val="DefaultParagraphFont"/>
    <w:uiPriority w:val="99"/>
    <w:semiHidden/>
    <w:unhideWhenUsed/>
    <w:rsid w:val="00D4016E"/>
    <w:rPr>
      <w:color w:val="605E5C"/>
      <w:shd w:val="clear" w:color="auto" w:fill="E1DFDD"/>
    </w:rPr>
  </w:style>
  <w:style w:type="character" w:styleId="FollowedHyperlink">
    <w:name w:val="FollowedHyperlink"/>
    <w:basedOn w:val="DefaultParagraphFont"/>
    <w:uiPriority w:val="99"/>
    <w:semiHidden/>
    <w:unhideWhenUsed/>
    <w:rsid w:val="0055466E"/>
    <w:rPr>
      <w:color w:val="96607D" w:themeColor="followedHyperlink"/>
      <w:u w:val="single"/>
    </w:rPr>
  </w:style>
  <w:style w:type="character" w:styleId="CommentReference">
    <w:name w:val="annotation reference"/>
    <w:basedOn w:val="DefaultParagraphFont"/>
    <w:uiPriority w:val="99"/>
    <w:semiHidden/>
    <w:unhideWhenUsed/>
    <w:rsid w:val="006A5A37"/>
    <w:rPr>
      <w:sz w:val="16"/>
      <w:szCs w:val="16"/>
    </w:rPr>
  </w:style>
  <w:style w:type="paragraph" w:styleId="CommentText">
    <w:name w:val="annotation text"/>
    <w:basedOn w:val="Normal"/>
    <w:link w:val="CommentTextChar"/>
    <w:uiPriority w:val="99"/>
    <w:unhideWhenUsed/>
    <w:rsid w:val="006A5A37"/>
    <w:pPr>
      <w:spacing w:line="240" w:lineRule="auto"/>
    </w:pPr>
    <w:rPr>
      <w:sz w:val="20"/>
      <w:szCs w:val="20"/>
    </w:rPr>
  </w:style>
  <w:style w:type="character" w:customStyle="1" w:styleId="CommentTextChar">
    <w:name w:val="Comment Text Char"/>
    <w:basedOn w:val="DefaultParagraphFont"/>
    <w:link w:val="CommentText"/>
    <w:uiPriority w:val="99"/>
    <w:rsid w:val="006A5A37"/>
    <w:rPr>
      <w:sz w:val="20"/>
      <w:szCs w:val="20"/>
    </w:rPr>
  </w:style>
  <w:style w:type="paragraph" w:styleId="CommentSubject">
    <w:name w:val="annotation subject"/>
    <w:basedOn w:val="CommentText"/>
    <w:next w:val="CommentText"/>
    <w:link w:val="CommentSubjectChar"/>
    <w:uiPriority w:val="99"/>
    <w:semiHidden/>
    <w:unhideWhenUsed/>
    <w:rsid w:val="006A5A37"/>
    <w:rPr>
      <w:b/>
      <w:bCs/>
    </w:rPr>
  </w:style>
  <w:style w:type="character" w:customStyle="1" w:styleId="CommentSubjectChar">
    <w:name w:val="Comment Subject Char"/>
    <w:basedOn w:val="CommentTextChar"/>
    <w:link w:val="CommentSubject"/>
    <w:uiPriority w:val="99"/>
    <w:semiHidden/>
    <w:rsid w:val="006A5A37"/>
    <w:rPr>
      <w:b/>
      <w:bCs/>
      <w:sz w:val="20"/>
      <w:szCs w:val="20"/>
    </w:rPr>
  </w:style>
  <w:style w:type="character" w:customStyle="1" w:styleId="ListParagraphChar">
    <w:name w:val="List Paragraph Char"/>
    <w:basedOn w:val="DefaultParagraphFont"/>
    <w:link w:val="ListParagraph"/>
    <w:uiPriority w:val="34"/>
    <w:rsid w:val="00FE1C7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hl7.org/implement/standards/product_brief.cfm?product_id=98" TargetMode="External"/><Relationship Id="rId3" Type="http://schemas.openxmlformats.org/officeDocument/2006/relationships/settings" Target="settings.xml"/><Relationship Id="rId7" Type="http://schemas.openxmlformats.org/officeDocument/2006/relationships/hyperlink" Target="https://www.naaccr.org/pathology-laboratory-electronic-reporting/"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hl7.org/implement/standards/product_brief.cfm?product_id=279" TargetMode="External"/><Relationship Id="rId11" Type="http://schemas.openxmlformats.org/officeDocument/2006/relationships/theme" Target="theme/theme1.xml"/><Relationship Id="rId5" Type="http://schemas.openxmlformats.org/officeDocument/2006/relationships/hyperlink" Target="https://www.hl7.eu/refactored/segOBX.html"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www.ecfr.gov/current/title-42/chapter-IV/subchapter-G/part-493/subpart-K/subject-group-ECFRc96daead380f6ed/section-493.1283" TargetMode="External"/><Relationship Id="rId12" Type="http://schemas.openxmlformats.org/officeDocument/2006/relationships/footer" Target="footer1.xml"/><Relationship Id="rId13" Type="http://schemas.openxmlformats.org/officeDocument/2006/relationships/hyperlink" Target="https://isp.healthit.gov/comment/13415" TargetMode="External"/><Relationship Id="rId14" Type="http://schemas.openxmlformats.org/officeDocument/2006/relationships/hyperlink" Target="https://isp.healthit.gov/comment/8621" TargetMode="External"/><Relationship Id="rId15" Type="http://schemas.openxmlformats.org/officeDocument/2006/relationships/hyperlink" Target="https://isp.healthit.gov/comment/4846" TargetMode="External"/><Relationship Id="rId16" Type="http://schemas.openxmlformats.org/officeDocument/2006/relationships/hyperlink" Target="https://www.cdc.gov/electronic-lab-reporting/php/about/index.html" TargetMode="External"/><Relationship Id="rId17" Type="http://schemas.openxmlformats.org/officeDocument/2006/relationships/hyperlink" Target="https://healthit.gov/standards-and-technology/onc-standards-bulletin/onc-standards-bulletin-2026-2/" TargetMode="External"/><Relationship Id="rId18" Type="http://schemas.openxmlformats.org/officeDocument/2006/relationships/hyperlink" Target="https://www.ecfr.gov/current/title-42/chapter-IV/subchapter-G/part-493/subpart-K/subject-group-ECFR5f8f0b6639946fd/section-493.1241" TargetMode="External"/><Relationship Id="rId19" Type="http://schemas.openxmlformats.org/officeDocument/2006/relationships/hyperlink" Target="https://hl7.eu/refactored/segOBX.html" TargetMode="External"/><Relationship Id="rId20" Type="http://schemas.openxmlformats.org/officeDocument/2006/relationships/hyperlink" Target="https://www.hl7.org/fhir/us/core/StructureDefinition-us-core-observation-lab-definitions.html" TargetMode="External"/><Relationship Id="rId21" Type="http://schemas.openxmlformats.org/officeDocument/2006/relationships/hyperlink" Target="https://www.hl7.org/fhir/extensions/StructureDefinition-observation-analysis-date-time.html" TargetMode="External"/><Relationship Id="rId22" Type="http://schemas.openxmlformats.org/officeDocument/2006/relationships/hyperlink" Target="https://www.ecfr.gov/current/title-45/subtitle-A/subchapter-D/part-170/subpart-B/section-170.205" TargetMode="External"/><Relationship Id="rId23" Type="http://schemas.openxmlformats.org/officeDocument/2006/relationships/hyperlink" Target="https://www.cdc.gov/foodcore/php/metrics/foodcore-ssl-metrics.html" TargetMode="External"/><Relationship Id="rId24" Type="http://schemas.openxmlformats.org/officeDocument/2006/relationships/hyperlink" Target="https://pubmed.ncbi.nlm.nih.gov/18392122/" TargetMode="External"/><Relationship Id="rId25" Type="http://schemas.openxmlformats.org/officeDocument/2006/relationships/hyperlink" Target="https://link.springer.com/article/10.1186/s12873-022-00763-w" TargetMode="External"/><Relationship Id="rId26" Type="http://schemas.openxmlformats.org/officeDocument/2006/relationships/hyperlink" Target="https://pubmed.ncbi.nlm.nih.gov/29719423/" TargetMode="External"/><Relationship Id="rId27" Type="http://schemas.openxmlformats.org/officeDocument/2006/relationships/hyperlink" Target="https://pubmed.ncbi.nlm.nih.gov/17537945/" TargetMode="External"/><Relationship Id="rId28" Type="http://schemas.openxmlformats.org/officeDocument/2006/relationships/hyperlink" Target="https://pubmed.ncbi.nlm.nih.gov/32873752/" TargetMode="External"/><Relationship Id="rId29" Type="http://schemas.openxmlformats.org/officeDocument/2006/relationships/hyperlink" Target="https://pubmed.ncbi.nlm.nih.gov/24259644/" TargetMode="External"/><Relationship Id="rId30" Type="http://schemas.openxmlformats.org/officeDocument/2006/relationships/hyperlink" Target="https://docs.oracle.com/en/industries/health/millennium-platform-apis/mfrap/api-observation.html" TargetMode="External"/><Relationship Id="rId31" Type="http://schemas.openxmlformats.org/officeDocument/2006/relationships/hyperlink" Target="https://developer.veradigm.com/Content/fhir/content/Results/" TargetMode="External"/><Relationship Id="rId32" Type="http://schemas.openxmlformats.org/officeDocument/2006/relationships/hyperlink" Target="https://hl7.org/fhir/uv/v2mappings/2020Sep/StructureDefinition-analysis-date-time.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30</TotalTime>
  <Pages>5</Pages>
  <Words>771</Words>
  <Characters>5185</Characters>
  <Application>Microsoft Office Word</Application>
  <DocSecurity>0</DocSecurity>
  <Lines>120</Lines>
  <Paragraphs>63</Paragraphs>
  <ScaleCrop>false</ScaleCrop>
  <Company>Centers for Disease Control and Prevention</Company>
  <LinksUpToDate>false</LinksUpToDate>
  <CharactersWithSpaces>5893</CharactersWithSpaces>
  <SharedDoc>false</SharedDoc>
  <HLinks>
    <vt:vector size="30" baseType="variant">
      <vt:variant>
        <vt:i4>1441858</vt:i4>
      </vt:variant>
      <vt:variant>
        <vt:i4>12</vt:i4>
      </vt:variant>
      <vt:variant>
        <vt:i4>0</vt:i4>
      </vt:variant>
      <vt:variant>
        <vt:i4>5</vt:i4>
      </vt:variant>
      <vt:variant>
        <vt:lpwstr>https://www.ecfr.gov/current/title-42/chapter-IV/subchapter-G/part-493/subpart-K/subject-group-ECFRc96daead380f6ed/section-493.1283</vt:lpwstr>
      </vt:variant>
      <vt:variant>
        <vt:lpwstr>p-493.1283(a))</vt:lpwstr>
      </vt:variant>
      <vt:variant>
        <vt:i4>7798842</vt:i4>
      </vt:variant>
      <vt:variant>
        <vt:i4>9</vt:i4>
      </vt:variant>
      <vt:variant>
        <vt:i4>0</vt:i4>
      </vt:variant>
      <vt:variant>
        <vt:i4>5</vt:i4>
      </vt:variant>
      <vt:variant>
        <vt:lpwstr>https://www.hl7.org/implement/standards/product_brief.cfm?product_id=98</vt:lpwstr>
      </vt:variant>
      <vt:variant>
        <vt:lpwstr/>
      </vt:variant>
      <vt:variant>
        <vt:i4>1310790</vt:i4>
      </vt:variant>
      <vt:variant>
        <vt:i4>6</vt:i4>
      </vt:variant>
      <vt:variant>
        <vt:i4>0</vt:i4>
      </vt:variant>
      <vt:variant>
        <vt:i4>5</vt:i4>
      </vt:variant>
      <vt:variant>
        <vt:lpwstr>https://www.naaccr.org/pathology-laboratory-electronic-reporting/</vt:lpwstr>
      </vt:variant>
      <vt:variant>
        <vt:lpwstr/>
      </vt:variant>
      <vt:variant>
        <vt:i4>4521997</vt:i4>
      </vt:variant>
      <vt:variant>
        <vt:i4>3</vt:i4>
      </vt:variant>
      <vt:variant>
        <vt:i4>0</vt:i4>
      </vt:variant>
      <vt:variant>
        <vt:i4>5</vt:i4>
      </vt:variant>
      <vt:variant>
        <vt:lpwstr>https://www.hl7.org/implement/standards/product_brief.cfm?product_id=279</vt:lpwstr>
      </vt:variant>
      <vt:variant>
        <vt:lpwstr/>
      </vt:variant>
      <vt:variant>
        <vt:i4>6160406</vt:i4>
      </vt:variant>
      <vt:variant>
        <vt:i4>0</vt:i4>
      </vt:variant>
      <vt:variant>
        <vt:i4>0</vt:i4>
      </vt:variant>
      <vt:variant>
        <vt:i4>5</vt:i4>
      </vt:variant>
      <vt:variant>
        <vt:lpwstr>https://www.hl7.eu/refactored/segOBX.html</vt:lpwstr>
      </vt:variant>
      <vt:variant>
        <vt:lpwstr>1480</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USCDI Justification - Laboratory Test Performed Date and Time</dc:title>
  <dc:subject>Expanded justification, use cases, standards, and current EHR capture</dc:subject>
  <dc:creator>Tandon, Sanjeev (CDC/OD/OPHDST)</dc:creator>
  <cp:keywords>USCDI, laboratory, performed date, analysis date, specimen collection, EHR, LIS, interoperability</cp:keywords>
  <dc:description/>
  <cp:lastModifiedBy>Dharmawardhana, Manjula (CDC/OD/OLSR/DLS)</cp:lastModifiedBy>
  <cp:revision>11</cp:revision>
  <dcterms:created xsi:type="dcterms:W3CDTF">2026-09-15T01:10:00Z</dcterms:created>
  <dcterms:modified xsi:type="dcterms:W3CDTF">2026-09-15T01:20:00Z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b94a7b8-f06c-4dfe-bdcc-9b548fd58c31_Enabled">
    <vt:lpwstr>true</vt:lpwstr>
  </property>
  <property fmtid="{D5CDD505-2E9C-101B-9397-08002B2CF9AE}" pid="3" name="MSIP_Label_7b94a7b8-f06c-4dfe-bdcc-9b548fd58c31_SetDate">
    <vt:lpwstr>2025-12-02T17:06:35Z</vt:lpwstr>
  </property>
  <property fmtid="{D5CDD505-2E9C-101B-9397-08002B2CF9AE}" pid="4" name="MSIP_Label_7b94a7b8-f06c-4dfe-bdcc-9b548fd58c31_Method">
    <vt:lpwstr>Privileged</vt:lpwstr>
  </property>
  <property fmtid="{D5CDD505-2E9C-101B-9397-08002B2CF9AE}" pid="5" name="MSIP_Label_7b94a7b8-f06c-4dfe-bdcc-9b548fd58c31_Name">
    <vt:lpwstr>7b94a7b8-f06c-4dfe-bdcc-9b548fd58c31</vt:lpwstr>
  </property>
  <property fmtid="{D5CDD505-2E9C-101B-9397-08002B2CF9AE}" pid="6" name="MSIP_Label_7b94a7b8-f06c-4dfe-bdcc-9b548fd58c31_SiteId">
    <vt:lpwstr>9ce70869-60db-44fd-abe8-d2767077fc8f</vt:lpwstr>
  </property>
  <property fmtid="{D5CDD505-2E9C-101B-9397-08002B2CF9AE}" pid="7" name="MSIP_Label_7b94a7b8-f06c-4dfe-bdcc-9b548fd58c31_ActionId">
    <vt:lpwstr>83977316-6b4f-4fff-9210-18cdbaf5b310</vt:lpwstr>
  </property>
  <property fmtid="{D5CDD505-2E9C-101B-9397-08002B2CF9AE}" pid="8" name="MSIP_Label_7b94a7b8-f06c-4dfe-bdcc-9b548fd58c31_ContentBits">
    <vt:lpwstr>0</vt:lpwstr>
  </property>
  <property fmtid="{D5CDD505-2E9C-101B-9397-08002B2CF9AE}" pid="9" name="MSIP_Label_7b94a7b8-f06c-4dfe-bdcc-9b548fd58c31_Tag">
    <vt:lpwstr>10, 0, 1, 1</vt:lpwstr>
  </property>
  <property fmtid="{D5CDD505-2E9C-101B-9397-08002B2CF9AE}" pid="10" name="GrammarlyDocumentId">
    <vt:lpwstr>19001a3f-6867-46f0-a181-6823976f3ca0</vt:lpwstr>
  </property>
</Properties>
</file>